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F5" w:rsidRPr="001454F5" w:rsidRDefault="00F60A16" w:rsidP="001454F5">
      <w:pPr>
        <w:autoSpaceDE w:val="0"/>
        <w:autoSpaceDN w:val="0"/>
        <w:spacing w:after="0" w:line="210" w:lineRule="atLeast"/>
        <w:jc w:val="center"/>
        <w:rPr>
          <w:rFonts w:ascii="Times New Roman" w:eastAsia="Calibri" w:hAnsi="Times New Roman" w:cs="Times New Roman"/>
          <w:b/>
          <w:bCs/>
          <w:color w:val="000000"/>
          <w:sz w:val="36"/>
          <w:szCs w:val="36"/>
        </w:rPr>
      </w:pPr>
      <w:r>
        <w:rPr>
          <w:rFonts w:ascii="Times New Roman" w:eastAsia="Calibri" w:hAnsi="Times New Roman" w:cs="Times New Roman"/>
          <w:b/>
          <w:bCs/>
          <w:noProof/>
          <w:color w:val="000000"/>
          <w:sz w:val="44"/>
          <w:szCs w:val="44"/>
          <w:lang w:eastAsia="fr-FR"/>
        </w:rPr>
        <w:drawing>
          <wp:anchor distT="0" distB="0" distL="114300" distR="114300" simplePos="0" relativeHeight="251658240" behindDoc="0" locked="0" layoutInCell="1" allowOverlap="1" wp14:anchorId="137A9BE8" wp14:editId="61BBDF42">
            <wp:simplePos x="0" y="0"/>
            <wp:positionH relativeFrom="column">
              <wp:posOffset>-512445</wp:posOffset>
            </wp:positionH>
            <wp:positionV relativeFrom="paragraph">
              <wp:posOffset>161925</wp:posOffset>
            </wp:positionV>
            <wp:extent cx="2625090" cy="3711575"/>
            <wp:effectExtent l="152400" t="152400" r="365760" b="3651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E ANAE 162 - Autisme et ABA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5090" cy="37115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454F5" w:rsidRPr="001454F5">
        <w:rPr>
          <w:rFonts w:ascii="Times New Roman" w:eastAsia="Calibri" w:hAnsi="Times New Roman" w:cs="Times New Roman"/>
          <w:b/>
          <w:bCs/>
          <w:color w:val="000000"/>
          <w:sz w:val="44"/>
          <w:szCs w:val="44"/>
        </w:rPr>
        <w:t>ANAE N° 1</w:t>
      </w:r>
      <w:r w:rsidR="001454F5" w:rsidRPr="001454F5">
        <w:rPr>
          <w:rFonts w:ascii="Times New Roman" w:eastAsia="Calibri" w:hAnsi="Times New Roman" w:cs="Times New Roman"/>
          <w:b/>
          <w:bCs/>
          <w:sz w:val="44"/>
          <w:szCs w:val="44"/>
        </w:rPr>
        <w:t>6</w:t>
      </w:r>
      <w:r w:rsidR="00B16B5B">
        <w:rPr>
          <w:rFonts w:ascii="Times New Roman" w:eastAsia="Calibri" w:hAnsi="Times New Roman" w:cs="Times New Roman"/>
          <w:b/>
          <w:bCs/>
          <w:sz w:val="44"/>
          <w:szCs w:val="44"/>
        </w:rPr>
        <w:t>5</w:t>
      </w:r>
    </w:p>
    <w:p w:rsidR="001454F5" w:rsidRPr="001454F5" w:rsidRDefault="001454F5" w:rsidP="001454F5">
      <w:pPr>
        <w:autoSpaceDE w:val="0"/>
        <w:autoSpaceDN w:val="0"/>
        <w:spacing w:after="0" w:line="210" w:lineRule="atLeast"/>
        <w:jc w:val="center"/>
        <w:rPr>
          <w:rFonts w:ascii="Times New Roman" w:eastAsia="Calibri" w:hAnsi="Times New Roman" w:cs="Times New Roman"/>
          <w:b/>
          <w:bCs/>
          <w:color w:val="000000"/>
          <w:sz w:val="20"/>
          <w:szCs w:val="20"/>
          <w:u w:val="single"/>
        </w:rPr>
      </w:pPr>
    </w:p>
    <w:p w:rsidR="00B16B5B" w:rsidRPr="00B16B5B" w:rsidRDefault="00B16B5B" w:rsidP="006E0064">
      <w:pPr>
        <w:spacing w:after="0" w:line="240" w:lineRule="auto"/>
        <w:jc w:val="center"/>
        <w:rPr>
          <w:rFonts w:ascii="Times-Bold" w:eastAsia="Calibri" w:hAnsi="Times-Bold" w:cs="Calibri"/>
          <w:b/>
          <w:bCs/>
          <w:color w:val="C00000"/>
          <w:sz w:val="32"/>
          <w:szCs w:val="32"/>
          <w:lang w:eastAsia="fr-FR"/>
        </w:rPr>
      </w:pPr>
      <w:r w:rsidRPr="00B16B5B">
        <w:rPr>
          <w:rFonts w:ascii="Times-Bold" w:eastAsia="Calibri" w:hAnsi="Times-Bold" w:cs="Calibri"/>
          <w:b/>
          <w:bCs/>
          <w:color w:val="C00000"/>
          <w:sz w:val="32"/>
          <w:szCs w:val="32"/>
          <w:lang w:eastAsia="fr-FR"/>
        </w:rPr>
        <w:t>Le Jeu</w:t>
      </w:r>
    </w:p>
    <w:p w:rsidR="006E0064" w:rsidRPr="00B16B5B" w:rsidRDefault="00B16B5B" w:rsidP="006E0064">
      <w:pPr>
        <w:spacing w:after="0" w:line="240" w:lineRule="auto"/>
        <w:jc w:val="center"/>
        <w:rPr>
          <w:rFonts w:ascii="Times-Bold" w:eastAsia="Calibri" w:hAnsi="Times-Bold" w:cs="Calibri"/>
          <w:b/>
          <w:bCs/>
          <w:color w:val="C00000"/>
          <w:sz w:val="32"/>
          <w:szCs w:val="32"/>
          <w:lang w:eastAsia="fr-FR"/>
        </w:rPr>
      </w:pPr>
      <w:r w:rsidRPr="00B16B5B">
        <w:rPr>
          <w:rFonts w:ascii="Times-Bold" w:eastAsia="Calibri" w:hAnsi="Times-Bold" w:cs="Calibri"/>
          <w:b/>
          <w:bCs/>
          <w:color w:val="C00000"/>
          <w:sz w:val="32"/>
          <w:szCs w:val="32"/>
          <w:lang w:eastAsia="fr-FR"/>
        </w:rPr>
        <w:t>Ses effets sur le développement psychologique et les apprentissages de l’enfant</w:t>
      </w:r>
      <w:r w:rsidR="006E0064" w:rsidRPr="00B16B5B">
        <w:rPr>
          <w:rFonts w:ascii="Times-Bold" w:eastAsia="Calibri" w:hAnsi="Times-Bold" w:cs="Calibri"/>
          <w:b/>
          <w:bCs/>
          <w:color w:val="C00000"/>
          <w:sz w:val="32"/>
          <w:szCs w:val="32"/>
          <w:lang w:eastAsia="fr-FR"/>
        </w:rPr>
        <w:t xml:space="preserve"> </w:t>
      </w:r>
    </w:p>
    <w:p w:rsidR="001454F5" w:rsidRPr="001454F5" w:rsidRDefault="001454F5" w:rsidP="006E0064">
      <w:pPr>
        <w:spacing w:after="0" w:line="240" w:lineRule="auto"/>
        <w:jc w:val="center"/>
        <w:rPr>
          <w:rFonts w:ascii="Calibri" w:eastAsia="Calibri" w:hAnsi="Calibri" w:cs="Calibri"/>
          <w:lang w:eastAsia="fr-FR"/>
        </w:rPr>
      </w:pPr>
      <w:r w:rsidRPr="001454F5">
        <w:rPr>
          <w:rFonts w:ascii="Calibri" w:eastAsia="Calibri" w:hAnsi="Calibri" w:cs="Calibri"/>
          <w:i/>
          <w:iCs/>
          <w:lang w:eastAsia="fr-FR"/>
        </w:rPr>
        <w:t xml:space="preserve">Vol </w:t>
      </w:r>
      <w:r w:rsidR="00B16B5B">
        <w:rPr>
          <w:rFonts w:ascii="Calibri" w:eastAsia="Calibri" w:hAnsi="Calibri" w:cs="Calibri"/>
          <w:i/>
          <w:iCs/>
          <w:lang w:eastAsia="fr-FR"/>
        </w:rPr>
        <w:t>32</w:t>
      </w:r>
      <w:r w:rsidRPr="001454F5">
        <w:rPr>
          <w:rFonts w:ascii="Calibri" w:eastAsia="Calibri" w:hAnsi="Calibri" w:cs="Calibri"/>
          <w:i/>
          <w:iCs/>
          <w:lang w:eastAsia="fr-FR"/>
        </w:rPr>
        <w:t xml:space="preserve"> – Tome </w:t>
      </w:r>
      <w:r w:rsidR="00B16B5B">
        <w:rPr>
          <w:rFonts w:ascii="Calibri" w:eastAsia="Calibri" w:hAnsi="Calibri" w:cs="Calibri"/>
          <w:i/>
          <w:iCs/>
          <w:lang w:eastAsia="fr-FR"/>
        </w:rPr>
        <w:t>II</w:t>
      </w:r>
      <w:r w:rsidRPr="001454F5">
        <w:rPr>
          <w:rFonts w:ascii="Calibri" w:eastAsia="Calibri" w:hAnsi="Calibri" w:cs="Calibri"/>
          <w:i/>
          <w:iCs/>
          <w:lang w:eastAsia="fr-FR"/>
        </w:rPr>
        <w:t xml:space="preserve"> – année </w:t>
      </w:r>
      <w:r w:rsidR="00B16B5B">
        <w:rPr>
          <w:rFonts w:ascii="Calibri" w:eastAsia="Calibri" w:hAnsi="Calibri" w:cs="Calibri"/>
          <w:i/>
          <w:iCs/>
          <w:lang w:eastAsia="fr-FR"/>
        </w:rPr>
        <w:t>2020</w:t>
      </w:r>
    </w:p>
    <w:p w:rsidR="001454F5" w:rsidRPr="001454F5" w:rsidRDefault="001454F5" w:rsidP="001454F5">
      <w:pPr>
        <w:spacing w:after="0" w:line="240" w:lineRule="auto"/>
        <w:jc w:val="center"/>
        <w:rPr>
          <w:rFonts w:ascii="Calibri" w:eastAsia="Calibri" w:hAnsi="Calibri" w:cs="Calibri"/>
          <w:lang w:eastAsia="fr-FR"/>
        </w:rPr>
      </w:pPr>
      <w:r w:rsidRPr="001454F5">
        <w:rPr>
          <w:rFonts w:ascii="Times New Roman" w:eastAsia="Calibri" w:hAnsi="Times New Roman" w:cs="Times New Roman"/>
          <w:b/>
          <w:bCs/>
          <w:sz w:val="20"/>
          <w:szCs w:val="20"/>
          <w:lang w:eastAsia="fr-FR"/>
        </w:rPr>
        <w:t> </w:t>
      </w:r>
    </w:p>
    <w:p w:rsidR="006E0064" w:rsidRDefault="006E0064" w:rsidP="00B16B5B">
      <w:pPr>
        <w:spacing w:after="0" w:line="210" w:lineRule="atLeast"/>
        <w:jc w:val="center"/>
        <w:rPr>
          <w:rFonts w:ascii="Times New Roman" w:eastAsia="Calibri" w:hAnsi="Times New Roman" w:cs="Times New Roman"/>
          <w:i/>
          <w:iCs/>
          <w:sz w:val="20"/>
          <w:szCs w:val="20"/>
          <w:lang w:eastAsia="fr-FR"/>
        </w:rPr>
      </w:pPr>
      <w:r w:rsidRPr="006E0064">
        <w:rPr>
          <w:rFonts w:ascii="Times New Roman" w:eastAsia="Calibri" w:hAnsi="Times New Roman" w:cs="Times New Roman"/>
          <w:i/>
          <w:iCs/>
          <w:sz w:val="20"/>
          <w:szCs w:val="20"/>
          <w:lang w:eastAsia="fr-FR"/>
        </w:rPr>
        <w:t xml:space="preserve">Dossier coordonné </w:t>
      </w:r>
      <w:r w:rsidR="00B16B5B">
        <w:rPr>
          <w:rFonts w:ascii="Times New Roman" w:eastAsia="Calibri" w:hAnsi="Times New Roman" w:cs="Times New Roman"/>
          <w:i/>
          <w:iCs/>
          <w:sz w:val="20"/>
          <w:szCs w:val="20"/>
          <w:lang w:eastAsia="fr-FR"/>
        </w:rPr>
        <w:t>S. Richard et le Pr E. Gentaz</w:t>
      </w:r>
    </w:p>
    <w:p w:rsidR="00B16B5B" w:rsidRDefault="00B16B5B" w:rsidP="00B16B5B">
      <w:pPr>
        <w:spacing w:after="0" w:line="210" w:lineRule="atLeast"/>
        <w:jc w:val="center"/>
        <w:rPr>
          <w:rFonts w:ascii="Times New Roman" w:eastAsia="Calibri" w:hAnsi="Times New Roman" w:cs="Times New Roman"/>
          <w:i/>
          <w:iCs/>
          <w:sz w:val="20"/>
          <w:szCs w:val="20"/>
          <w:lang w:eastAsia="fr-FR"/>
        </w:rPr>
      </w:pPr>
      <w:r>
        <w:rPr>
          <w:rFonts w:ascii="Times New Roman" w:eastAsia="Calibri" w:hAnsi="Times New Roman" w:cs="Times New Roman"/>
          <w:i/>
          <w:iCs/>
          <w:sz w:val="20"/>
          <w:szCs w:val="20"/>
          <w:lang w:eastAsia="fr-FR"/>
        </w:rPr>
        <w:t xml:space="preserve">Haute Ecole Pédagogique du canton du Valais </w:t>
      </w:r>
    </w:p>
    <w:p w:rsidR="00B16B5B" w:rsidRDefault="00B16B5B" w:rsidP="00B16B5B">
      <w:pPr>
        <w:spacing w:after="0" w:line="210" w:lineRule="atLeast"/>
        <w:jc w:val="center"/>
        <w:rPr>
          <w:rFonts w:ascii="Times New Roman" w:eastAsia="Calibri" w:hAnsi="Times New Roman" w:cs="Times New Roman"/>
          <w:i/>
          <w:iCs/>
          <w:sz w:val="20"/>
          <w:szCs w:val="20"/>
          <w:lang w:eastAsia="fr-FR"/>
        </w:rPr>
      </w:pPr>
      <w:proofErr w:type="gramStart"/>
      <w:r>
        <w:rPr>
          <w:rFonts w:ascii="Times New Roman" w:eastAsia="Calibri" w:hAnsi="Times New Roman" w:cs="Times New Roman"/>
          <w:i/>
          <w:iCs/>
          <w:sz w:val="20"/>
          <w:szCs w:val="20"/>
          <w:lang w:eastAsia="fr-FR"/>
        </w:rPr>
        <w:t>et</w:t>
      </w:r>
      <w:proofErr w:type="gramEnd"/>
      <w:r>
        <w:rPr>
          <w:rFonts w:ascii="Times New Roman" w:eastAsia="Calibri" w:hAnsi="Times New Roman" w:cs="Times New Roman"/>
          <w:i/>
          <w:iCs/>
          <w:sz w:val="20"/>
          <w:szCs w:val="20"/>
          <w:lang w:eastAsia="fr-FR"/>
        </w:rPr>
        <w:t xml:space="preserve"> Université de Genève (CH)</w:t>
      </w:r>
    </w:p>
    <w:p w:rsidR="00B16B5B" w:rsidRPr="00B16B5B" w:rsidRDefault="00B16B5B" w:rsidP="00B16B5B">
      <w:pPr>
        <w:spacing w:after="0" w:line="240" w:lineRule="auto"/>
        <w:jc w:val="right"/>
        <w:rPr>
          <w:rFonts w:ascii="Calibri" w:eastAsia="Calibri" w:hAnsi="Calibri" w:cs="Calibri"/>
          <w:noProof/>
          <w:lang w:eastAsia="fr-FR"/>
        </w:rPr>
      </w:pPr>
    </w:p>
    <w:p w:rsidR="00B16B5B" w:rsidRDefault="00B16B5B" w:rsidP="00B16B5B">
      <w:pPr>
        <w:spacing w:after="0" w:line="240" w:lineRule="auto"/>
        <w:rPr>
          <w:rFonts w:ascii="Calibri" w:eastAsia="Calibri" w:hAnsi="Calibri" w:cs="Calibri"/>
          <w:noProof/>
          <w:lang w:eastAsia="fr-FR"/>
        </w:rPr>
      </w:pPr>
      <w:r w:rsidRPr="00B16B5B">
        <w:rPr>
          <w:rFonts w:ascii="Calibri" w:eastAsia="Calibri" w:hAnsi="Calibri" w:cs="Calibri"/>
          <w:b/>
          <w:noProof/>
          <w:color w:val="C00000"/>
          <w:sz w:val="32"/>
          <w:lang w:eastAsia="fr-FR"/>
        </w:rPr>
        <w:t>L</w:t>
      </w:r>
      <w:r w:rsidRPr="00B16B5B">
        <w:rPr>
          <w:rFonts w:ascii="Calibri" w:eastAsia="Calibri" w:hAnsi="Calibri" w:cs="Calibri"/>
          <w:noProof/>
          <w:lang w:eastAsia="fr-FR"/>
        </w:rPr>
        <w:t xml:space="preserve">e jeu occupe une place importante dans la vie d’un enfant. Depuis plus d’un siècle, il est considéré comme la marque de l’enfance (Groos, 1899 ; Piaget, 1945 ; Vygotsky 1933/2016). Pour de nombreux chercheurs, en plus de favoriser son bien-être émotionnel, il permet à l’enfant de donner du sens au monde qui l’entoure, de créer de la connaissance et de développer avec des coûts minimes de nouvelles stratégies et de nouveaux comportements.  </w:t>
      </w:r>
    </w:p>
    <w:p w:rsidR="002B0819" w:rsidRPr="00B16B5B" w:rsidRDefault="002B0819" w:rsidP="00B16B5B">
      <w:pPr>
        <w:spacing w:after="0" w:line="240" w:lineRule="auto"/>
        <w:rPr>
          <w:rFonts w:ascii="Calibri" w:eastAsia="Calibri" w:hAnsi="Calibri" w:cs="Calibri"/>
          <w:noProof/>
          <w:lang w:eastAsia="fr-FR"/>
        </w:rPr>
      </w:pPr>
    </w:p>
    <w:p w:rsidR="00B16B5B" w:rsidRDefault="00B16B5B" w:rsidP="00B16B5B">
      <w:pPr>
        <w:spacing w:after="0" w:line="240" w:lineRule="auto"/>
        <w:rPr>
          <w:rFonts w:ascii="Calibri" w:eastAsia="Calibri" w:hAnsi="Calibri" w:cs="Calibri"/>
          <w:noProof/>
          <w:lang w:eastAsia="fr-FR"/>
        </w:rPr>
      </w:pPr>
      <w:r w:rsidRPr="00B16B5B">
        <w:rPr>
          <w:rFonts w:ascii="Calibri" w:eastAsia="Calibri" w:hAnsi="Calibri" w:cs="Calibri"/>
          <w:noProof/>
          <w:lang w:eastAsia="fr-FR"/>
        </w:rPr>
        <w:t>Or, au cours des dernières décennies, les conditions de vie socioculturelle des enfants ont considérablement changé, notamment à travers l’introduction précoce des nouvelles technologies de l’information, la diminution des interactions entre les enfants d’âges différents et l’augmentation du temps passé à réaliser des activités plus structurées après l’école au lieu de jouer librement dehors (Richard, Clerc-Georgy &amp; Gentaz, 2019 ; Richard &amp; Gentaz, 2019). De nouvelles recherches nécessitent d’être réalisées afin de mesurer les effets de ces transformations sociales sur le développement global de l’enfant et sur l’évolution du jeu en lui-même et plus spécifiquement de ses différentes formes..</w:t>
      </w:r>
    </w:p>
    <w:p w:rsidR="002B0819" w:rsidRPr="00B16B5B" w:rsidRDefault="002B0819" w:rsidP="00B16B5B">
      <w:pPr>
        <w:spacing w:after="0" w:line="240" w:lineRule="auto"/>
        <w:rPr>
          <w:rFonts w:ascii="Calibri" w:eastAsia="Calibri" w:hAnsi="Calibri" w:cs="Calibri"/>
          <w:noProof/>
          <w:lang w:eastAsia="fr-FR"/>
        </w:rPr>
      </w:pPr>
    </w:p>
    <w:p w:rsidR="00B16B5B" w:rsidRPr="00B16B5B" w:rsidRDefault="00B16B5B" w:rsidP="00B16B5B">
      <w:pPr>
        <w:spacing w:after="0" w:line="240" w:lineRule="auto"/>
        <w:rPr>
          <w:rFonts w:ascii="Calibri" w:eastAsia="Calibri" w:hAnsi="Calibri" w:cs="Calibri"/>
          <w:noProof/>
          <w:lang w:eastAsia="fr-FR"/>
        </w:rPr>
      </w:pPr>
      <w:r w:rsidRPr="00B16B5B">
        <w:rPr>
          <w:rFonts w:ascii="Calibri" w:eastAsia="Calibri" w:hAnsi="Calibri" w:cs="Calibri"/>
          <w:noProof/>
          <w:lang w:eastAsia="fr-FR"/>
        </w:rPr>
        <w:t xml:space="preserve">De surcroît, certaines croyances relatives au jeu ont encore tendance à circuler dans la société </w:t>
      </w:r>
    </w:p>
    <w:p w:rsidR="00B16B5B" w:rsidRDefault="00B16B5B" w:rsidP="00B16B5B">
      <w:pPr>
        <w:spacing w:after="0" w:line="240" w:lineRule="auto"/>
        <w:rPr>
          <w:rFonts w:ascii="Calibri" w:eastAsia="Calibri" w:hAnsi="Calibri" w:cs="Calibri"/>
          <w:noProof/>
          <w:lang w:eastAsia="fr-FR"/>
        </w:rPr>
      </w:pPr>
      <w:r w:rsidRPr="00B16B5B">
        <w:rPr>
          <w:rFonts w:ascii="Calibri" w:eastAsia="Calibri" w:hAnsi="Calibri" w:cs="Calibri"/>
          <w:noProof/>
          <w:lang w:eastAsia="fr-FR"/>
        </w:rPr>
        <w:t>de manière générale. En effet, pour certains jouer constitue une activité frivole. Le fait de s’adonner à ce type d’activité priverait alors l’enfant d’un véritable apprentissage. Pour d’autres, comme c’est le cas dans la pédagogie Montessori, le jeu et plus spécifiquement le jeu de faire semblant ne constituerait pas une activité susceptible de favoriser le développement de l’enfant (Lillard &amp; Taggart, 2019).</w:t>
      </w:r>
    </w:p>
    <w:p w:rsidR="002B0819" w:rsidRPr="00B16B5B" w:rsidRDefault="002B0819" w:rsidP="00B16B5B">
      <w:pPr>
        <w:spacing w:after="0" w:line="240" w:lineRule="auto"/>
        <w:rPr>
          <w:rFonts w:ascii="Calibri" w:eastAsia="Calibri" w:hAnsi="Calibri" w:cs="Calibri"/>
          <w:noProof/>
          <w:lang w:eastAsia="fr-FR"/>
        </w:rPr>
      </w:pPr>
    </w:p>
    <w:p w:rsidR="00B16B5B" w:rsidRDefault="00B16B5B" w:rsidP="00B16B5B">
      <w:pPr>
        <w:spacing w:after="0" w:line="240" w:lineRule="auto"/>
        <w:rPr>
          <w:rFonts w:ascii="Calibri" w:eastAsia="Calibri" w:hAnsi="Calibri" w:cs="Calibri"/>
          <w:noProof/>
          <w:lang w:eastAsia="fr-FR"/>
        </w:rPr>
      </w:pPr>
      <w:r w:rsidRPr="00B16B5B">
        <w:rPr>
          <w:rFonts w:ascii="Calibri" w:eastAsia="Calibri" w:hAnsi="Calibri" w:cs="Calibri"/>
          <w:noProof/>
          <w:lang w:eastAsia="fr-FR"/>
        </w:rPr>
        <w:t xml:space="preserve">Dans ce dossier thématique développé dans ce numéro de la revue A.N.A.E., le jeu et ses effets sur le développement et les apprentissages seront traités selon différentes perspectives afin de pouvoir, d’une part, affiner notre compréhension du jeu – ce phénomène complexe qui appelle des définitions multidimensionnelles – et, d’autre part, proposer aux praticiens professionnels de l’éducation et des apprentissages scolaires ainsi qu’aux psychologues des pistes concrètes pour favoriser le développement du jeu. Les jeux numériques ne seront pas abordés dans le cadre de ce numéro spécial et ce bien qu’actuellement ce type de jeu ainsi que l’exposition précoce aux écrans font l’objet de vifs débats dans le monde scientifique. </w:t>
      </w:r>
    </w:p>
    <w:p w:rsidR="002B0819" w:rsidRPr="00B16B5B" w:rsidRDefault="002B0819" w:rsidP="00B16B5B">
      <w:pPr>
        <w:spacing w:after="0" w:line="240" w:lineRule="auto"/>
        <w:rPr>
          <w:rFonts w:ascii="Calibri" w:eastAsia="Calibri" w:hAnsi="Calibri" w:cs="Calibri"/>
          <w:noProof/>
          <w:lang w:eastAsia="fr-FR"/>
        </w:rPr>
      </w:pPr>
    </w:p>
    <w:p w:rsidR="00B16B5B" w:rsidRDefault="00B16B5B" w:rsidP="00B16B5B">
      <w:pPr>
        <w:spacing w:after="0" w:line="240" w:lineRule="auto"/>
        <w:rPr>
          <w:rFonts w:ascii="Calibri" w:eastAsia="Calibri" w:hAnsi="Calibri" w:cs="Calibri"/>
          <w:noProof/>
          <w:lang w:eastAsia="fr-FR"/>
        </w:rPr>
      </w:pPr>
      <w:r w:rsidRPr="00B16B5B">
        <w:rPr>
          <w:rFonts w:ascii="Calibri" w:eastAsia="Calibri" w:hAnsi="Calibri" w:cs="Calibri"/>
          <w:noProof/>
          <w:lang w:eastAsia="fr-FR"/>
        </w:rPr>
        <w:t>Ce numéro abordera le jeu en fonction de quatre grands axes : le jeu chez le tout-petit ; l’évolution du jeu au cours du développement selon les deux perspectives théoriques les plus connues, à savoir piagétienne et vygotskienne ; les effets du jeu de faire semblant sur l’apprentissage et le développement de l’imagination, des compétences socio-émotionnelles, des compétences mathématiques précoces ; les pratiques enseignantes relatives au soutien du langage oral et de l’émergence de l’écrit en situation de jeu de faire semblant ; et finalement le développement du jeu ainsi que son influence sur le développement global des enfants présentant un handicap sensoriel.</w:t>
      </w:r>
    </w:p>
    <w:p w:rsidR="002B0819" w:rsidRPr="00B16B5B" w:rsidRDefault="002B0819" w:rsidP="00B16B5B">
      <w:pPr>
        <w:spacing w:after="0" w:line="240" w:lineRule="auto"/>
        <w:rPr>
          <w:rFonts w:ascii="Calibri" w:eastAsia="Calibri" w:hAnsi="Calibri" w:cs="Calibri"/>
          <w:noProof/>
          <w:lang w:eastAsia="fr-FR"/>
        </w:rPr>
      </w:pPr>
    </w:p>
    <w:p w:rsidR="00B16B5B" w:rsidRPr="00B16B5B" w:rsidRDefault="00B16B5B" w:rsidP="00B16B5B">
      <w:pPr>
        <w:spacing w:after="0" w:line="240" w:lineRule="auto"/>
        <w:rPr>
          <w:rFonts w:ascii="Calibri" w:eastAsia="Calibri" w:hAnsi="Calibri" w:cs="Calibri"/>
          <w:noProof/>
          <w:lang w:eastAsia="fr-FR"/>
        </w:rPr>
      </w:pPr>
      <w:r w:rsidRPr="00B16B5B">
        <w:rPr>
          <w:rFonts w:ascii="Calibri" w:eastAsia="Calibri" w:hAnsi="Calibri" w:cs="Calibri"/>
          <w:noProof/>
          <w:lang w:eastAsia="fr-FR"/>
        </w:rPr>
        <w:t>Enfin, pour conclure nous espérons que ce numéro thématique sur le jeu permettra aux professionnels de l’éducation et des apprentissages scolaires, ainsi qu’aux psychologues, d’une part de mieux comprendre les bienfaits du jeu pour les apprentissages fondateurs d’une scolarité réussie (apprentissages fondamentaux) et pour le développement cognitif, linguistique et socio-émotionnel de l’enfant, et d’autre part, de mieux saisir ou de prendre conscience de la nécessité de laisser du temps et un espace à l’enfant pour jouer librement avec un ou des partenaires sociaux, tout particulièrement dans la société actuelle qui tend de plus en plus à se digitaliser (« ère du numérique ») et ce dès le plus jeune âge.</w:t>
      </w:r>
    </w:p>
    <w:p w:rsidR="00B16B5B" w:rsidRPr="00B16B5B" w:rsidRDefault="00B16B5B" w:rsidP="00B16B5B">
      <w:pPr>
        <w:spacing w:after="0" w:line="240" w:lineRule="auto"/>
        <w:jc w:val="right"/>
        <w:rPr>
          <w:rFonts w:ascii="Calibri" w:eastAsia="Calibri" w:hAnsi="Calibri" w:cs="Calibri"/>
          <w:noProof/>
          <w:lang w:eastAsia="fr-FR"/>
        </w:rPr>
      </w:pPr>
    </w:p>
    <w:p w:rsidR="00B16B5B" w:rsidRPr="002B0819" w:rsidRDefault="00B16B5B" w:rsidP="00B16B5B">
      <w:pPr>
        <w:spacing w:after="0" w:line="240" w:lineRule="auto"/>
        <w:jc w:val="right"/>
        <w:rPr>
          <w:rFonts w:ascii="Calibri" w:eastAsia="Calibri" w:hAnsi="Calibri" w:cs="Calibri"/>
          <w:b/>
          <w:noProof/>
          <w:lang w:eastAsia="fr-FR"/>
        </w:rPr>
      </w:pPr>
      <w:r w:rsidRPr="002B0819">
        <w:rPr>
          <w:rFonts w:ascii="Calibri" w:eastAsia="Calibri" w:hAnsi="Calibri" w:cs="Calibri"/>
          <w:b/>
          <w:noProof/>
          <w:lang w:eastAsia="fr-FR"/>
        </w:rPr>
        <w:t>Sylvie Richard, Édouard Gentaz</w:t>
      </w:r>
    </w:p>
    <w:p w:rsidR="00B16B5B" w:rsidRPr="002B0819" w:rsidRDefault="00B16B5B" w:rsidP="00B16B5B">
      <w:pPr>
        <w:spacing w:after="0" w:line="240" w:lineRule="auto"/>
        <w:jc w:val="right"/>
        <w:rPr>
          <w:rFonts w:ascii="Calibri" w:eastAsia="Calibri" w:hAnsi="Calibri" w:cs="Calibri"/>
          <w:b/>
          <w:noProof/>
          <w:lang w:eastAsia="fr-FR"/>
        </w:rPr>
      </w:pPr>
      <w:r w:rsidRPr="002B0819">
        <w:rPr>
          <w:rFonts w:ascii="Calibri" w:eastAsia="Calibri" w:hAnsi="Calibri" w:cs="Calibri"/>
          <w:b/>
          <w:noProof/>
          <w:lang w:eastAsia="fr-FR"/>
        </w:rPr>
        <w:t>(Haute École Pédagogique du canton du Valais et Université de Genève)</w:t>
      </w:r>
    </w:p>
    <w:p w:rsidR="00D354A1" w:rsidRDefault="00D354A1" w:rsidP="006E0064">
      <w:pPr>
        <w:spacing w:after="0" w:line="240" w:lineRule="auto"/>
        <w:jc w:val="right"/>
        <w:rPr>
          <w:rFonts w:ascii="Arial" w:eastAsia="Calibri" w:hAnsi="Arial" w:cs="Arial"/>
          <w:i/>
          <w:iCs/>
          <w:lang w:val="en-US"/>
        </w:rPr>
      </w:pPr>
    </w:p>
    <w:p w:rsidR="001454F5" w:rsidRPr="001454F5" w:rsidRDefault="001454F5" w:rsidP="001454F5">
      <w:pPr>
        <w:spacing w:after="0" w:line="240" w:lineRule="auto"/>
        <w:jc w:val="center"/>
        <w:rPr>
          <w:rFonts w:ascii="Arial" w:eastAsia="Calibri" w:hAnsi="Arial" w:cs="Arial"/>
          <w:b/>
          <w:bCs/>
          <w:color w:val="C00000"/>
          <w:sz w:val="24"/>
          <w:szCs w:val="24"/>
          <w:lang w:val="fr-CH"/>
        </w:rPr>
      </w:pPr>
    </w:p>
    <w:p w:rsidR="001454F5" w:rsidRPr="001454F5" w:rsidRDefault="001454F5" w:rsidP="001454F5">
      <w:pPr>
        <w:spacing w:after="0" w:line="240" w:lineRule="auto"/>
        <w:jc w:val="center"/>
        <w:rPr>
          <w:rFonts w:ascii="Arial" w:eastAsia="Calibri" w:hAnsi="Arial" w:cs="Arial"/>
          <w:b/>
          <w:bCs/>
          <w:sz w:val="24"/>
          <w:szCs w:val="24"/>
          <w:lang w:val="fr-CH"/>
        </w:rPr>
      </w:pPr>
      <w:r w:rsidRPr="001454F5">
        <w:rPr>
          <w:rFonts w:ascii="Arial" w:eastAsia="Calibri" w:hAnsi="Arial" w:cs="Arial"/>
          <w:b/>
          <w:bCs/>
          <w:sz w:val="24"/>
          <w:szCs w:val="24"/>
          <w:lang w:val="fr-CH"/>
        </w:rPr>
        <w:t>Dans ce numéro également</w:t>
      </w:r>
    </w:p>
    <w:p w:rsidR="001454F5" w:rsidRPr="001A4AA6" w:rsidRDefault="001454F5" w:rsidP="001454F5">
      <w:pPr>
        <w:spacing w:after="0" w:line="240" w:lineRule="auto"/>
        <w:jc w:val="center"/>
        <w:rPr>
          <w:rFonts w:ascii="Calibri" w:eastAsia="Calibri" w:hAnsi="Calibri" w:cs="Calibri"/>
          <w:b/>
          <w:bCs/>
          <w:sz w:val="12"/>
          <w:lang w:val="fr-CH"/>
        </w:rPr>
      </w:pPr>
    </w:p>
    <w:p w:rsidR="001454F5" w:rsidRPr="001454F5" w:rsidRDefault="002B0819" w:rsidP="001B3619">
      <w:pPr>
        <w:spacing w:after="0" w:line="240" w:lineRule="auto"/>
        <w:jc w:val="center"/>
        <w:rPr>
          <w:rFonts w:ascii="Arial" w:eastAsia="Calibri" w:hAnsi="Arial" w:cs="Arial"/>
          <w:b/>
          <w:bCs/>
          <w:sz w:val="24"/>
          <w:szCs w:val="24"/>
          <w:lang w:val="fr-CH"/>
        </w:rPr>
      </w:pPr>
      <w:r>
        <w:rPr>
          <w:rFonts w:ascii="Calibri" w:eastAsia="Calibri" w:hAnsi="Calibri" w:cs="Calibri"/>
          <w:b/>
          <w:bCs/>
          <w:color w:val="C00000"/>
          <w:sz w:val="28"/>
          <w:szCs w:val="36"/>
          <w:lang w:val="fr-CH"/>
        </w:rPr>
        <w:t>Validation préliminaire en contexte français de la tache Head-</w:t>
      </w:r>
      <w:proofErr w:type="spellStart"/>
      <w:r>
        <w:rPr>
          <w:rFonts w:ascii="Calibri" w:eastAsia="Calibri" w:hAnsi="Calibri" w:cs="Calibri"/>
          <w:b/>
          <w:bCs/>
          <w:color w:val="C00000"/>
          <w:sz w:val="28"/>
          <w:szCs w:val="36"/>
          <w:lang w:val="fr-CH"/>
        </w:rPr>
        <w:t>Toes</w:t>
      </w:r>
      <w:proofErr w:type="spellEnd"/>
      <w:r>
        <w:rPr>
          <w:rFonts w:ascii="Calibri" w:eastAsia="Calibri" w:hAnsi="Calibri" w:cs="Calibri"/>
          <w:b/>
          <w:bCs/>
          <w:color w:val="C00000"/>
          <w:sz w:val="28"/>
          <w:szCs w:val="36"/>
          <w:lang w:val="fr-CH"/>
        </w:rPr>
        <w:t>-</w:t>
      </w:r>
      <w:proofErr w:type="spellStart"/>
      <w:r>
        <w:rPr>
          <w:rFonts w:ascii="Calibri" w:eastAsia="Calibri" w:hAnsi="Calibri" w:cs="Calibri"/>
          <w:b/>
          <w:bCs/>
          <w:color w:val="C00000"/>
          <w:sz w:val="28"/>
          <w:szCs w:val="36"/>
          <w:lang w:val="fr-CH"/>
        </w:rPr>
        <w:t>Knees-Shoulders</w:t>
      </w:r>
      <w:proofErr w:type="spellEnd"/>
      <w:r>
        <w:rPr>
          <w:rFonts w:ascii="Calibri" w:eastAsia="Calibri" w:hAnsi="Calibri" w:cs="Calibri"/>
          <w:b/>
          <w:bCs/>
          <w:color w:val="C00000"/>
          <w:sz w:val="28"/>
          <w:szCs w:val="36"/>
          <w:lang w:val="fr-CH"/>
        </w:rPr>
        <w:t xml:space="preserve"> (HTKS) évaluant le contrôle inhibiteur chez des enfants de grande section de </w:t>
      </w:r>
      <w:r w:rsidR="00940068">
        <w:rPr>
          <w:rFonts w:ascii="Calibri" w:eastAsia="Calibri" w:hAnsi="Calibri" w:cs="Calibri"/>
          <w:b/>
          <w:bCs/>
          <w:color w:val="C00000"/>
          <w:sz w:val="28"/>
          <w:szCs w:val="36"/>
          <w:lang w:val="fr-CH"/>
        </w:rPr>
        <w:t>maternelle</w:t>
      </w:r>
    </w:p>
    <w:p w:rsidR="00BA5633" w:rsidRPr="001A4AA6" w:rsidRDefault="00BA5633" w:rsidP="002B0819">
      <w:pPr>
        <w:spacing w:after="0" w:line="240" w:lineRule="auto"/>
        <w:jc w:val="center"/>
        <w:rPr>
          <w:rFonts w:eastAsia="Calibri" w:cstheme="minorHAnsi"/>
          <w:bCs/>
          <w:color w:val="000000"/>
          <w:sz w:val="12"/>
          <w:lang w:val="fr-CH"/>
        </w:rPr>
      </w:pPr>
    </w:p>
    <w:p w:rsidR="00BA5633" w:rsidRPr="00BA5633" w:rsidRDefault="002B0819" w:rsidP="002B0819">
      <w:pPr>
        <w:spacing w:after="0" w:line="240" w:lineRule="auto"/>
        <w:jc w:val="center"/>
        <w:rPr>
          <w:rFonts w:eastAsia="Calibri" w:cstheme="minorHAnsi"/>
          <w:bCs/>
          <w:color w:val="000000"/>
          <w:lang w:val="fr-CH"/>
        </w:rPr>
      </w:pPr>
      <w:r>
        <w:rPr>
          <w:rFonts w:eastAsia="Calibri" w:cstheme="minorHAnsi"/>
          <w:bCs/>
          <w:color w:val="000000"/>
          <w:lang w:val="fr-CH"/>
        </w:rPr>
        <w:t xml:space="preserve">B. Hubert, P. Guimard, A. Florin &amp; S. </w:t>
      </w:r>
      <w:proofErr w:type="spellStart"/>
      <w:r>
        <w:rPr>
          <w:rFonts w:eastAsia="Calibri" w:cstheme="minorHAnsi"/>
          <w:bCs/>
          <w:color w:val="000000"/>
          <w:lang w:val="fr-CH"/>
        </w:rPr>
        <w:t>Bourderbela</w:t>
      </w:r>
      <w:proofErr w:type="spellEnd"/>
    </w:p>
    <w:p w:rsidR="001454F5" w:rsidRPr="001A4AA6" w:rsidRDefault="001454F5" w:rsidP="001454F5">
      <w:pPr>
        <w:spacing w:after="0" w:line="240" w:lineRule="auto"/>
        <w:rPr>
          <w:rFonts w:ascii="Calibri" w:eastAsia="Calibri" w:hAnsi="Calibri" w:cs="Calibri"/>
          <w:color w:val="C00000"/>
          <w:sz w:val="12"/>
          <w:lang w:val="fr-CH"/>
        </w:rPr>
      </w:pPr>
    </w:p>
    <w:p w:rsidR="001454F5" w:rsidRPr="001454F5" w:rsidRDefault="001454F5" w:rsidP="001454F5">
      <w:pPr>
        <w:spacing w:after="0" w:line="240" w:lineRule="auto"/>
        <w:jc w:val="center"/>
        <w:rPr>
          <w:rFonts w:ascii="Calibri" w:eastAsia="Calibri" w:hAnsi="Calibri" w:cs="Calibri"/>
          <w:b/>
          <w:bCs/>
          <w:color w:val="C00000"/>
          <w:sz w:val="36"/>
          <w:szCs w:val="36"/>
          <w:lang w:val="fr-CH"/>
        </w:rPr>
      </w:pPr>
      <w:r w:rsidRPr="001454F5">
        <w:rPr>
          <w:rFonts w:ascii="Calibri" w:eastAsia="Calibri" w:hAnsi="Calibri" w:cs="Calibri"/>
          <w:b/>
          <w:bCs/>
          <w:color w:val="C00000"/>
          <w:sz w:val="36"/>
          <w:szCs w:val="36"/>
          <w:lang w:val="fr-CH"/>
        </w:rPr>
        <w:t xml:space="preserve">Editorial </w:t>
      </w:r>
    </w:p>
    <w:p w:rsidR="001454F5" w:rsidRPr="00787FCF" w:rsidRDefault="002B0819" w:rsidP="001454F5">
      <w:pPr>
        <w:spacing w:after="0" w:line="240" w:lineRule="auto"/>
        <w:jc w:val="center"/>
        <w:rPr>
          <w:rFonts w:eastAsia="Calibri" w:cstheme="minorHAnsi"/>
          <w:lang w:val="fr-CH"/>
        </w:rPr>
      </w:pPr>
      <w:r>
        <w:rPr>
          <w:rFonts w:eastAsia="Calibri" w:cstheme="minorHAnsi"/>
          <w:lang w:val="fr-CH"/>
        </w:rPr>
        <w:t>Que peuvent nous apprendre les recherches sur l’évolution de la démarche de la médecine fondée sur des preuves (Evidence-</w:t>
      </w:r>
      <w:proofErr w:type="spellStart"/>
      <w:r>
        <w:rPr>
          <w:rFonts w:eastAsia="Calibri" w:cstheme="minorHAnsi"/>
          <w:lang w:val="fr-CH"/>
        </w:rPr>
        <w:t>Based</w:t>
      </w:r>
      <w:proofErr w:type="spellEnd"/>
      <w:r>
        <w:rPr>
          <w:rFonts w:eastAsia="Calibri" w:cstheme="minorHAnsi"/>
          <w:lang w:val="fr-CH"/>
        </w:rPr>
        <w:t xml:space="preserve"> </w:t>
      </w:r>
      <w:proofErr w:type="spellStart"/>
      <w:r>
        <w:rPr>
          <w:rFonts w:eastAsia="Calibri" w:cstheme="minorHAnsi"/>
          <w:lang w:val="fr-CH"/>
        </w:rPr>
        <w:t>Medicine</w:t>
      </w:r>
      <w:proofErr w:type="spellEnd"/>
      <w:r>
        <w:rPr>
          <w:rFonts w:eastAsia="Calibri" w:cstheme="minorHAnsi"/>
          <w:lang w:val="fr-CH"/>
        </w:rPr>
        <w:t xml:space="preserve"> – EBM) ? </w:t>
      </w:r>
      <w:r w:rsidR="00DB59EC">
        <w:rPr>
          <w:rFonts w:eastAsia="Calibri" w:cstheme="minorHAnsi"/>
          <w:lang w:val="fr-CH"/>
        </w:rPr>
        <w:t xml:space="preserve"> </w:t>
      </w:r>
      <w:r w:rsidR="001454F5" w:rsidRPr="00787FCF">
        <w:rPr>
          <w:rFonts w:eastAsia="Calibri" w:cstheme="minorHAnsi"/>
          <w:lang w:val="fr-CH"/>
        </w:rPr>
        <w:t>É. GENTAZ</w:t>
      </w:r>
    </w:p>
    <w:p w:rsidR="001454F5" w:rsidRPr="001454F5" w:rsidRDefault="001454F5" w:rsidP="001454F5">
      <w:pPr>
        <w:spacing w:after="0" w:line="240" w:lineRule="auto"/>
        <w:rPr>
          <w:rFonts w:ascii="Calibri" w:eastAsia="Calibri" w:hAnsi="Calibri" w:cs="Calibri"/>
          <w:i/>
          <w:iCs/>
          <w:lang w:val="fr-CH"/>
        </w:rPr>
      </w:pPr>
    </w:p>
    <w:p w:rsidR="001454F5" w:rsidRPr="001454F5" w:rsidRDefault="00C52B9F" w:rsidP="001454F5">
      <w:pPr>
        <w:spacing w:after="0" w:line="240" w:lineRule="auto"/>
        <w:jc w:val="center"/>
        <w:rPr>
          <w:rFonts w:ascii="Calibri" w:eastAsia="Calibri" w:hAnsi="Calibri" w:cs="Calibri"/>
          <w:color w:val="C00000"/>
          <w:lang w:eastAsia="fr-FR"/>
        </w:rPr>
      </w:pPr>
      <w:hyperlink r:id="rId6" w:history="1">
        <w:r w:rsidR="001454F5" w:rsidRPr="001454F5">
          <w:rPr>
            <w:rFonts w:ascii="Calibri" w:eastAsia="Calibri" w:hAnsi="Calibri" w:cs="Calibri"/>
            <w:b/>
            <w:bCs/>
            <w:color w:val="C00000"/>
            <w:sz w:val="24"/>
            <w:szCs w:val="24"/>
            <w:u w:val="single"/>
            <w:lang w:eastAsia="fr-FR"/>
          </w:rPr>
          <w:t>Acheter le N° 1</w:t>
        </w:r>
        <w:r w:rsidR="0032175F">
          <w:rPr>
            <w:rFonts w:ascii="Calibri" w:eastAsia="Calibri" w:hAnsi="Calibri" w:cs="Calibri"/>
            <w:b/>
            <w:bCs/>
            <w:color w:val="C00000"/>
            <w:sz w:val="24"/>
            <w:szCs w:val="24"/>
            <w:u w:val="single"/>
            <w:lang w:eastAsia="fr-FR"/>
          </w:rPr>
          <w:t>65</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8"/>
          <w:szCs w:val="8"/>
          <w:lang w:eastAsia="fr-FR"/>
        </w:rPr>
        <w:t> </w:t>
      </w:r>
    </w:p>
    <w:p w:rsidR="001454F5" w:rsidRPr="0043138E" w:rsidRDefault="0043138E" w:rsidP="001454F5">
      <w:pPr>
        <w:spacing w:after="0" w:line="240" w:lineRule="auto"/>
        <w:jc w:val="center"/>
        <w:rPr>
          <w:rFonts w:ascii="Calibri" w:eastAsia="Calibri" w:hAnsi="Calibri" w:cs="Calibri"/>
          <w:color w:val="C00000"/>
          <w:lang w:eastAsia="fr-FR"/>
        </w:rPr>
      </w:pPr>
      <w:hyperlink r:id="rId7" w:history="1">
        <w:r w:rsidR="001454F5" w:rsidRPr="0043138E">
          <w:rPr>
            <w:rStyle w:val="Lienhypertexte"/>
            <w:rFonts w:ascii="Calibri" w:eastAsia="Calibri" w:hAnsi="Calibri" w:cs="Calibri"/>
            <w:b/>
            <w:bCs/>
            <w:color w:val="C00000"/>
            <w:sz w:val="24"/>
            <w:szCs w:val="24"/>
            <w:lang w:eastAsia="fr-FR"/>
          </w:rPr>
          <w:t>S’abonner ou se réabonner pour 20</w:t>
        </w:r>
        <w:r w:rsidR="0032175F" w:rsidRPr="0043138E">
          <w:rPr>
            <w:rStyle w:val="Lienhypertexte"/>
            <w:rFonts w:ascii="Calibri" w:eastAsia="Calibri" w:hAnsi="Calibri" w:cs="Calibri"/>
            <w:b/>
            <w:bCs/>
            <w:color w:val="C00000"/>
            <w:sz w:val="24"/>
            <w:szCs w:val="24"/>
            <w:lang w:eastAsia="fr-FR"/>
          </w:rPr>
          <w:t>20 (N° 164 à 169</w:t>
        </w:r>
        <w:r w:rsidR="001454F5" w:rsidRPr="0043138E">
          <w:rPr>
            <w:rStyle w:val="Lienhypertexte"/>
            <w:rFonts w:ascii="Calibri" w:eastAsia="Calibri" w:hAnsi="Calibri" w:cs="Calibri"/>
            <w:b/>
            <w:bCs/>
            <w:color w:val="C00000"/>
            <w:sz w:val="24"/>
            <w:szCs w:val="24"/>
            <w:lang w:eastAsia="fr-FR"/>
          </w:rPr>
          <w:t>)</w:t>
        </w:r>
      </w:hyperlink>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sz w:val="14"/>
          <w:szCs w:val="14"/>
          <w:lang w:eastAsia="fr-FR"/>
        </w:rPr>
        <w:t> </w:t>
      </w:r>
    </w:p>
    <w:p w:rsidR="001454F5" w:rsidRPr="001454F5" w:rsidRDefault="001454F5" w:rsidP="001454F5">
      <w:pPr>
        <w:spacing w:after="0" w:line="240" w:lineRule="auto"/>
        <w:jc w:val="center"/>
        <w:rPr>
          <w:rFonts w:ascii="Calibri" w:eastAsia="Calibri" w:hAnsi="Calibri" w:cs="Calibri"/>
          <w:lang w:eastAsia="fr-FR"/>
        </w:rPr>
      </w:pPr>
      <w:r w:rsidRPr="001454F5">
        <w:rPr>
          <w:rFonts w:ascii="Calibri" w:eastAsia="Calibri" w:hAnsi="Calibri" w:cs="Calibri"/>
          <w:b/>
          <w:bCs/>
          <w:color w:val="C00000"/>
          <w:lang w:eastAsia="fr-FR"/>
        </w:rPr>
        <w:t>Vous pouvez aussi télécharger le bon de commande en pièce jointe</w:t>
      </w:r>
    </w:p>
    <w:p w:rsidR="001454F5" w:rsidRPr="001454F5" w:rsidRDefault="001454F5" w:rsidP="001454F5">
      <w:pPr>
        <w:spacing w:after="0" w:line="210" w:lineRule="atLeast"/>
        <w:jc w:val="both"/>
        <w:rPr>
          <w:rFonts w:ascii="Arial" w:eastAsia="Calibri" w:hAnsi="Arial" w:cs="Arial"/>
          <w:sz w:val="20"/>
          <w:szCs w:val="20"/>
          <w:lang w:eastAsia="fr-FR"/>
        </w:rPr>
      </w:pPr>
      <w:r w:rsidRPr="001454F5">
        <w:rPr>
          <w:rFonts w:ascii="Arial" w:eastAsia="Calibri" w:hAnsi="Arial" w:cs="Arial"/>
          <w:sz w:val="20"/>
          <w:szCs w:val="20"/>
          <w:lang w:eastAsia="fr-FR"/>
        </w:rPr>
        <w:t> </w:t>
      </w:r>
    </w:p>
    <w:p w:rsidR="001454F5" w:rsidRPr="0032175F" w:rsidRDefault="001454F5" w:rsidP="001454F5">
      <w:pPr>
        <w:spacing w:after="0" w:line="210" w:lineRule="atLeast"/>
        <w:jc w:val="both"/>
        <w:rPr>
          <w:rFonts w:eastAsia="Calibri" w:cstheme="minorHAnsi"/>
          <w:b/>
          <w:bCs/>
          <w:lang w:eastAsia="fr-FR"/>
        </w:rPr>
      </w:pPr>
      <w:r w:rsidRPr="0032175F">
        <w:rPr>
          <w:rFonts w:eastAsia="Calibri" w:cstheme="minorHAnsi"/>
          <w:b/>
          <w:bCs/>
          <w:lang w:eastAsia="fr-FR"/>
        </w:rPr>
        <w:t>Sommaire</w:t>
      </w:r>
    </w:p>
    <w:p w:rsidR="00363752" w:rsidRPr="0032175F" w:rsidRDefault="00363752" w:rsidP="001454F5">
      <w:pPr>
        <w:spacing w:after="0" w:line="210" w:lineRule="atLeast"/>
        <w:jc w:val="both"/>
        <w:rPr>
          <w:rFonts w:eastAsia="Calibri" w:cstheme="minorHAnsi"/>
          <w:lang w:eastAsia="fr-FR"/>
        </w:rPr>
      </w:pPr>
    </w:p>
    <w:p w:rsidR="00363752" w:rsidRPr="0032175F" w:rsidRDefault="002B0819" w:rsidP="001454F5">
      <w:pPr>
        <w:spacing w:after="0" w:line="240" w:lineRule="auto"/>
        <w:rPr>
          <w:rFonts w:eastAsia="Calibri" w:cstheme="minorHAnsi"/>
          <w:lang w:eastAsia="fr-FR"/>
        </w:rPr>
      </w:pPr>
      <w:r w:rsidRPr="0032175F">
        <w:rPr>
          <w:rFonts w:eastAsia="Calibri" w:cstheme="minorHAnsi"/>
          <w:lang w:eastAsia="fr-FR"/>
        </w:rPr>
        <w:t>Que peuvent nous apprendre les recherches sur l’évolution de la démarche de la médecine fondée sur des preuves (Evidence-</w:t>
      </w:r>
      <w:proofErr w:type="spellStart"/>
      <w:r w:rsidRPr="0032175F">
        <w:rPr>
          <w:rFonts w:eastAsia="Calibri" w:cstheme="minorHAnsi"/>
          <w:lang w:eastAsia="fr-FR"/>
        </w:rPr>
        <w:t>Based</w:t>
      </w:r>
      <w:proofErr w:type="spellEnd"/>
      <w:r w:rsidRPr="0032175F">
        <w:rPr>
          <w:rFonts w:eastAsia="Calibri" w:cstheme="minorHAnsi"/>
          <w:lang w:eastAsia="fr-FR"/>
        </w:rPr>
        <w:t xml:space="preserve"> </w:t>
      </w:r>
      <w:proofErr w:type="spellStart"/>
      <w:r w:rsidRPr="0032175F">
        <w:rPr>
          <w:rFonts w:eastAsia="Calibri" w:cstheme="minorHAnsi"/>
          <w:lang w:eastAsia="fr-FR"/>
        </w:rPr>
        <w:t>Medicine</w:t>
      </w:r>
      <w:proofErr w:type="spellEnd"/>
      <w:r w:rsidRPr="0032175F">
        <w:rPr>
          <w:rFonts w:eastAsia="Calibri" w:cstheme="minorHAnsi"/>
          <w:lang w:eastAsia="fr-FR"/>
        </w:rPr>
        <w:t xml:space="preserve"> – EBM) ?  É. GENTAZ</w:t>
      </w:r>
    </w:p>
    <w:p w:rsidR="002B0819" w:rsidRPr="0032175F" w:rsidRDefault="002B0819" w:rsidP="001454F5">
      <w:pPr>
        <w:spacing w:after="0" w:line="240" w:lineRule="auto"/>
        <w:rPr>
          <w:rFonts w:eastAsia="Calibri" w:cstheme="minorHAnsi"/>
          <w:b/>
          <w:bCs/>
          <w:lang w:eastAsia="fr-FR"/>
        </w:rPr>
      </w:pPr>
    </w:p>
    <w:p w:rsidR="0032175F" w:rsidRPr="0032175F" w:rsidRDefault="0032175F" w:rsidP="0032175F">
      <w:pPr>
        <w:pStyle w:val="Styledeparagraphe1"/>
        <w:spacing w:before="57"/>
        <w:rPr>
          <w:rFonts w:asciiTheme="minorHAnsi" w:hAnsiTheme="minorHAnsi" w:cstheme="minorHAnsi"/>
          <w:sz w:val="22"/>
          <w:szCs w:val="22"/>
        </w:rPr>
      </w:pPr>
      <w:r w:rsidRPr="0032175F">
        <w:rPr>
          <w:rFonts w:asciiTheme="minorHAnsi" w:hAnsiTheme="minorHAnsi" w:cstheme="minorHAnsi"/>
          <w:sz w:val="22"/>
          <w:szCs w:val="22"/>
        </w:rPr>
        <w:t>DOSSIER</w:t>
      </w:r>
    </w:p>
    <w:p w:rsidR="001454F5" w:rsidRPr="0032175F" w:rsidRDefault="001454F5" w:rsidP="001454F5">
      <w:pPr>
        <w:spacing w:after="0" w:line="240" w:lineRule="auto"/>
        <w:rPr>
          <w:rFonts w:eastAsia="Calibri" w:cstheme="minorHAnsi"/>
          <w:b/>
          <w:bCs/>
          <w:lang w:eastAsia="fr-FR"/>
        </w:rPr>
      </w:pPr>
    </w:p>
    <w:p w:rsidR="0032175F" w:rsidRPr="0032175F" w:rsidRDefault="0032175F" w:rsidP="0032175F">
      <w:pPr>
        <w:spacing w:after="0" w:line="240" w:lineRule="auto"/>
        <w:jc w:val="both"/>
        <w:rPr>
          <w:rFonts w:eastAsia="Calibri" w:cstheme="minorHAnsi"/>
          <w:lang w:eastAsia="fr-FR"/>
        </w:rPr>
      </w:pPr>
      <w:r w:rsidRPr="0032175F">
        <w:rPr>
          <w:rFonts w:eastAsia="Calibri" w:cstheme="minorHAnsi"/>
          <w:lang w:eastAsia="fr-FR"/>
        </w:rPr>
        <w:t xml:space="preserve">Avant-propos - Le jeu et ses effets sur le développement et les apprentissages : </w:t>
      </w:r>
    </w:p>
    <w:p w:rsidR="0032175F" w:rsidRPr="0032175F" w:rsidRDefault="0032175F" w:rsidP="0032175F">
      <w:pPr>
        <w:spacing w:after="0" w:line="240" w:lineRule="auto"/>
        <w:jc w:val="both"/>
        <w:rPr>
          <w:rFonts w:eastAsia="Calibri" w:cstheme="minorHAnsi"/>
          <w:lang w:eastAsia="fr-FR"/>
        </w:rPr>
      </w:pPr>
      <w:proofErr w:type="gramStart"/>
      <w:r w:rsidRPr="0032175F">
        <w:rPr>
          <w:rFonts w:eastAsia="Calibri" w:cstheme="minorHAnsi"/>
          <w:lang w:eastAsia="fr-FR"/>
        </w:rPr>
        <w:t>regards</w:t>
      </w:r>
      <w:proofErr w:type="gramEnd"/>
      <w:r w:rsidRPr="0032175F">
        <w:rPr>
          <w:rFonts w:eastAsia="Calibri" w:cstheme="minorHAnsi"/>
          <w:lang w:eastAsia="fr-FR"/>
        </w:rPr>
        <w:t xml:space="preserve"> multiples  </w:t>
      </w:r>
      <w:r>
        <w:rPr>
          <w:rFonts w:eastAsia="Calibri" w:cstheme="minorHAnsi"/>
          <w:lang w:eastAsia="fr-FR"/>
        </w:rPr>
        <w:t xml:space="preserve">                                                                                                         </w:t>
      </w:r>
      <w:r w:rsidRPr="0032175F">
        <w:rPr>
          <w:rFonts w:eastAsia="Calibri" w:cstheme="minorHAnsi"/>
          <w:lang w:eastAsia="fr-FR"/>
        </w:rPr>
        <w:t>S. RICHARD &amp; É. GENTAZ</w:t>
      </w:r>
    </w:p>
    <w:p w:rsidR="0032175F" w:rsidRPr="0032175F" w:rsidRDefault="0032175F" w:rsidP="0032175F">
      <w:pPr>
        <w:spacing w:after="0" w:line="240" w:lineRule="auto"/>
        <w:rPr>
          <w:rFonts w:eastAsia="Calibri" w:cstheme="minorHAnsi"/>
          <w:lang w:eastAsia="fr-FR"/>
        </w:rPr>
      </w:pPr>
      <w:r w:rsidRPr="0032175F">
        <w:rPr>
          <w:rFonts w:eastAsia="Calibri" w:cstheme="minorHAnsi"/>
          <w:lang w:eastAsia="fr-FR"/>
        </w:rPr>
        <w:t>Le jeu chez le tout-</w:t>
      </w:r>
      <w:r w:rsidRPr="0032175F">
        <w:rPr>
          <w:rFonts w:eastAsia="Calibri" w:cstheme="minorHAnsi"/>
          <w:lang w:eastAsia="fr-FR"/>
        </w:rPr>
        <w:t xml:space="preserve">petit </w:t>
      </w:r>
      <w:r>
        <w:rPr>
          <w:rFonts w:eastAsia="Calibri" w:cstheme="minorHAnsi"/>
          <w:lang w:eastAsia="fr-FR"/>
        </w:rPr>
        <w:t xml:space="preserve">                                                                                                                       </w:t>
      </w:r>
      <w:r w:rsidRPr="0032175F">
        <w:rPr>
          <w:rFonts w:eastAsia="Calibri" w:cstheme="minorHAnsi"/>
          <w:lang w:eastAsia="fr-FR"/>
        </w:rPr>
        <w:t>F.</w:t>
      </w:r>
      <w:r w:rsidRPr="0032175F">
        <w:rPr>
          <w:rFonts w:eastAsia="Calibri" w:cstheme="minorHAnsi"/>
          <w:lang w:eastAsia="fr-FR"/>
        </w:rPr>
        <w:t xml:space="preserve"> LEJEUNE</w:t>
      </w:r>
    </w:p>
    <w:p w:rsidR="0032175F" w:rsidRPr="0032175F" w:rsidRDefault="0032175F" w:rsidP="0032175F">
      <w:pPr>
        <w:spacing w:after="0" w:line="240" w:lineRule="auto"/>
        <w:jc w:val="both"/>
        <w:rPr>
          <w:rFonts w:eastAsia="Calibri" w:cstheme="minorHAnsi"/>
          <w:lang w:eastAsia="fr-FR"/>
        </w:rPr>
      </w:pPr>
      <w:r w:rsidRPr="0032175F">
        <w:rPr>
          <w:rFonts w:eastAsia="Calibri" w:cstheme="minorHAnsi"/>
          <w:lang w:eastAsia="fr-FR"/>
        </w:rPr>
        <w:t xml:space="preserve">Jean Piaget et le jeu : des pratiques </w:t>
      </w:r>
      <w:r w:rsidRPr="0032175F">
        <w:rPr>
          <w:rFonts w:eastAsia="Calibri" w:cstheme="minorHAnsi"/>
          <w:lang w:eastAsia="fr-FR"/>
        </w:rPr>
        <w:t xml:space="preserve">multiples à une théorie unifiée </w:t>
      </w:r>
      <w:r>
        <w:rPr>
          <w:rFonts w:eastAsia="Calibri" w:cstheme="minorHAnsi"/>
          <w:lang w:eastAsia="fr-FR"/>
        </w:rPr>
        <w:t xml:space="preserve">                </w:t>
      </w:r>
      <w:r w:rsidRPr="0032175F">
        <w:rPr>
          <w:rFonts w:eastAsia="Calibri" w:cstheme="minorHAnsi"/>
          <w:lang w:eastAsia="fr-FR"/>
        </w:rPr>
        <w:t>M. J. RATCLIFF &amp; A.I. NOËL</w:t>
      </w:r>
    </w:p>
    <w:p w:rsidR="0032175F" w:rsidRDefault="0032175F" w:rsidP="0032175F">
      <w:pPr>
        <w:spacing w:after="0" w:line="240" w:lineRule="auto"/>
        <w:jc w:val="both"/>
        <w:rPr>
          <w:rFonts w:eastAsia="Calibri" w:cstheme="minorHAnsi"/>
          <w:lang w:eastAsia="fr-FR"/>
        </w:rPr>
      </w:pPr>
      <w:r w:rsidRPr="0032175F">
        <w:rPr>
          <w:rFonts w:eastAsia="Calibri" w:cstheme="minorHAnsi"/>
          <w:lang w:eastAsia="fr-FR"/>
        </w:rPr>
        <w:t>Regard sur la mat</w:t>
      </w:r>
      <w:r w:rsidRPr="0032175F">
        <w:rPr>
          <w:rFonts w:eastAsia="Calibri" w:cstheme="minorHAnsi"/>
          <w:lang w:eastAsia="fr-FR"/>
        </w:rPr>
        <w:t>urité du jeu de faire semblant chez</w:t>
      </w:r>
      <w:r w:rsidRPr="0032175F">
        <w:rPr>
          <w:rFonts w:eastAsia="Calibri" w:cstheme="minorHAnsi"/>
          <w:lang w:eastAsia="fr-FR"/>
        </w:rPr>
        <w:t xml:space="preserve"> l’enfant d’âge </w:t>
      </w:r>
      <w:r w:rsidRPr="0032175F">
        <w:rPr>
          <w:rFonts w:eastAsia="Calibri" w:cstheme="minorHAnsi"/>
          <w:lang w:eastAsia="fr-FR"/>
        </w:rPr>
        <w:t xml:space="preserve">préscolaire </w:t>
      </w:r>
    </w:p>
    <w:p w:rsidR="0032175F" w:rsidRPr="0032175F" w:rsidRDefault="0032175F" w:rsidP="0032175F">
      <w:pPr>
        <w:spacing w:after="0" w:line="240" w:lineRule="auto"/>
        <w:jc w:val="both"/>
        <w:rPr>
          <w:rFonts w:eastAsia="Calibri" w:cstheme="minorHAnsi"/>
          <w:lang w:eastAsia="fr-FR"/>
        </w:rPr>
      </w:pPr>
      <w:r>
        <w:rPr>
          <w:rFonts w:eastAsia="Calibri" w:cstheme="minorHAnsi"/>
          <w:lang w:eastAsia="fr-FR"/>
        </w:rPr>
        <w:t xml:space="preserve">                                                                                                                                      </w:t>
      </w:r>
      <w:r w:rsidRPr="0032175F">
        <w:rPr>
          <w:rFonts w:eastAsia="Calibri" w:cstheme="minorHAnsi"/>
          <w:lang w:eastAsia="fr-FR"/>
        </w:rPr>
        <w:t>S.</w:t>
      </w:r>
      <w:r w:rsidRPr="0032175F">
        <w:rPr>
          <w:rFonts w:eastAsia="Calibri" w:cstheme="minorHAnsi"/>
          <w:lang w:eastAsia="fr-FR"/>
        </w:rPr>
        <w:t xml:space="preserve"> LANDRY &amp; J. MELANÇON</w:t>
      </w:r>
    </w:p>
    <w:p w:rsidR="0032175F" w:rsidRPr="0032175F" w:rsidRDefault="0032175F" w:rsidP="0032175F">
      <w:pPr>
        <w:spacing w:after="0" w:line="240" w:lineRule="auto"/>
        <w:jc w:val="both"/>
        <w:rPr>
          <w:rFonts w:eastAsia="Calibri" w:cstheme="minorHAnsi"/>
          <w:lang w:eastAsia="fr-FR"/>
        </w:rPr>
      </w:pPr>
      <w:r w:rsidRPr="0032175F">
        <w:rPr>
          <w:rFonts w:eastAsia="Calibri" w:cstheme="minorHAnsi"/>
          <w:lang w:eastAsia="fr-FR"/>
        </w:rPr>
        <w:t>Jeu</w:t>
      </w:r>
      <w:r w:rsidRPr="0032175F">
        <w:rPr>
          <w:rFonts w:eastAsia="Calibri" w:cstheme="minorHAnsi"/>
          <w:lang w:eastAsia="fr-FR"/>
        </w:rPr>
        <w:t xml:space="preserve">, imagination et apprentissage </w:t>
      </w:r>
      <w:r w:rsidRPr="0032175F">
        <w:rPr>
          <w:rFonts w:eastAsia="Calibri" w:cstheme="minorHAnsi"/>
          <w:lang w:eastAsia="fr-FR"/>
        </w:rPr>
        <w:t>dans une p</w:t>
      </w:r>
      <w:r w:rsidRPr="0032175F">
        <w:rPr>
          <w:rFonts w:eastAsia="Calibri" w:cstheme="minorHAnsi"/>
          <w:lang w:eastAsia="fr-FR"/>
        </w:rPr>
        <w:t>erspective historico-culturelle</w:t>
      </w:r>
      <w:r>
        <w:rPr>
          <w:rFonts w:eastAsia="Calibri" w:cstheme="minorHAnsi"/>
          <w:lang w:eastAsia="fr-FR"/>
        </w:rPr>
        <w:t xml:space="preserve">              </w:t>
      </w:r>
      <w:r w:rsidRPr="0032175F">
        <w:rPr>
          <w:rFonts w:eastAsia="Calibri" w:cstheme="minorHAnsi"/>
          <w:lang w:eastAsia="fr-FR"/>
        </w:rPr>
        <w:t xml:space="preserve"> </w:t>
      </w:r>
      <w:r w:rsidRPr="0032175F">
        <w:rPr>
          <w:rFonts w:eastAsia="Calibri" w:cstheme="minorHAnsi"/>
          <w:lang w:eastAsia="fr-FR"/>
        </w:rPr>
        <w:t xml:space="preserve">A. GEORGY-CLERC </w:t>
      </w:r>
    </w:p>
    <w:p w:rsidR="0032175F" w:rsidRPr="0032175F" w:rsidRDefault="0032175F" w:rsidP="0032175F">
      <w:pPr>
        <w:spacing w:after="0" w:line="240" w:lineRule="auto"/>
        <w:jc w:val="both"/>
        <w:rPr>
          <w:rFonts w:eastAsia="Calibri" w:cstheme="minorHAnsi"/>
          <w:lang w:eastAsia="fr-FR"/>
        </w:rPr>
      </w:pPr>
      <w:r w:rsidRPr="0032175F">
        <w:rPr>
          <w:rFonts w:eastAsia="Calibri" w:cstheme="minorHAnsi"/>
          <w:lang w:eastAsia="fr-FR"/>
        </w:rPr>
        <w:t xml:space="preserve">Le jeu de faire-semblant </w:t>
      </w:r>
      <w:r w:rsidRPr="0032175F">
        <w:rPr>
          <w:rFonts w:eastAsia="Calibri" w:cstheme="minorHAnsi"/>
          <w:lang w:eastAsia="fr-FR"/>
        </w:rPr>
        <w:t>favorise-t-il le développement des</w:t>
      </w:r>
      <w:r w:rsidRPr="0032175F">
        <w:rPr>
          <w:rFonts w:eastAsia="Calibri" w:cstheme="minorHAnsi"/>
          <w:lang w:eastAsia="fr-FR"/>
        </w:rPr>
        <w:t xml:space="preserve"> com</w:t>
      </w:r>
      <w:r>
        <w:rPr>
          <w:rFonts w:eastAsia="Calibri" w:cstheme="minorHAnsi"/>
          <w:lang w:eastAsia="fr-FR"/>
        </w:rPr>
        <w:t xml:space="preserve">pétences socio-émotionnelles ? </w:t>
      </w:r>
    </w:p>
    <w:p w:rsidR="0032175F" w:rsidRPr="0032175F" w:rsidRDefault="00940068" w:rsidP="0032175F">
      <w:pPr>
        <w:spacing w:after="0" w:line="240" w:lineRule="auto"/>
        <w:jc w:val="both"/>
        <w:rPr>
          <w:rFonts w:eastAsia="Calibri" w:cstheme="minorHAnsi"/>
          <w:lang w:eastAsia="fr-FR"/>
        </w:rPr>
      </w:pPr>
      <w:r>
        <w:rPr>
          <w:rFonts w:eastAsia="Calibri" w:cstheme="minorHAnsi"/>
          <w:lang w:eastAsia="fr-FR"/>
        </w:rPr>
        <w:t xml:space="preserve">                                                                                                                                          </w:t>
      </w:r>
      <w:r w:rsidR="0032175F" w:rsidRPr="0032175F">
        <w:rPr>
          <w:rFonts w:eastAsia="Calibri" w:cstheme="minorHAnsi"/>
          <w:lang w:eastAsia="fr-FR"/>
        </w:rPr>
        <w:t xml:space="preserve">S. RICHARD &amp; É. GENTAZ </w:t>
      </w:r>
    </w:p>
    <w:p w:rsidR="0032175F" w:rsidRPr="0032175F" w:rsidRDefault="0032175F" w:rsidP="0032175F">
      <w:pPr>
        <w:spacing w:after="0" w:line="240" w:lineRule="auto"/>
        <w:jc w:val="both"/>
        <w:rPr>
          <w:rFonts w:eastAsia="Calibri" w:cstheme="minorHAnsi"/>
          <w:lang w:eastAsia="fr-FR"/>
        </w:rPr>
      </w:pPr>
      <w:r w:rsidRPr="0032175F">
        <w:rPr>
          <w:rFonts w:eastAsia="Calibri" w:cstheme="minorHAnsi"/>
          <w:lang w:eastAsia="fr-FR"/>
        </w:rPr>
        <w:t xml:space="preserve">Soutien du langage oral et de l’émergence de l’écrit des enfants en situation de jeu </w:t>
      </w:r>
    </w:p>
    <w:p w:rsidR="0032175F" w:rsidRPr="0032175F" w:rsidRDefault="0032175F" w:rsidP="0032175F">
      <w:pPr>
        <w:spacing w:after="0" w:line="240" w:lineRule="auto"/>
        <w:jc w:val="both"/>
        <w:rPr>
          <w:rFonts w:eastAsia="Calibri" w:cstheme="minorHAnsi"/>
          <w:lang w:eastAsia="fr-FR"/>
        </w:rPr>
      </w:pPr>
      <w:proofErr w:type="gramStart"/>
      <w:r w:rsidRPr="0032175F">
        <w:rPr>
          <w:rFonts w:eastAsia="Calibri" w:cstheme="minorHAnsi"/>
          <w:lang w:eastAsia="fr-FR"/>
        </w:rPr>
        <w:t>de</w:t>
      </w:r>
      <w:proofErr w:type="gramEnd"/>
      <w:r w:rsidRPr="0032175F">
        <w:rPr>
          <w:rFonts w:eastAsia="Calibri" w:cstheme="minorHAnsi"/>
          <w:lang w:eastAsia="fr-FR"/>
        </w:rPr>
        <w:t xml:space="preserve"> faire-semblant : un contexte propice, mais peu exploité en maternelle 5 ans</w:t>
      </w:r>
      <w:r w:rsidRPr="0032175F">
        <w:rPr>
          <w:rFonts w:eastAsia="Calibri" w:cstheme="minorHAnsi"/>
          <w:lang w:eastAsia="fr-FR"/>
        </w:rPr>
        <w:tab/>
      </w:r>
    </w:p>
    <w:p w:rsidR="0032175F" w:rsidRPr="0032175F" w:rsidRDefault="00940068" w:rsidP="0032175F">
      <w:pPr>
        <w:spacing w:after="0" w:line="240" w:lineRule="auto"/>
        <w:jc w:val="both"/>
        <w:rPr>
          <w:rFonts w:eastAsia="Calibri" w:cstheme="minorHAnsi"/>
          <w:lang w:eastAsia="fr-FR"/>
        </w:rPr>
      </w:pPr>
      <w:r>
        <w:rPr>
          <w:rFonts w:eastAsia="Calibri" w:cstheme="minorHAnsi"/>
          <w:lang w:eastAsia="fr-FR"/>
        </w:rPr>
        <w:t xml:space="preserve">                                              </w:t>
      </w:r>
      <w:r w:rsidR="0032175F" w:rsidRPr="0032175F">
        <w:rPr>
          <w:rFonts w:eastAsia="Calibri" w:cstheme="minorHAnsi"/>
          <w:lang w:eastAsia="fr-FR"/>
        </w:rPr>
        <w:t>C. BOUCHARD, L. BERGERON-MORIN, A.-S. PARENT, A. CHARRON &amp; C. JULIEN</w:t>
      </w:r>
    </w:p>
    <w:p w:rsidR="00940068" w:rsidRDefault="0032175F" w:rsidP="0032175F">
      <w:pPr>
        <w:spacing w:after="0" w:line="240" w:lineRule="auto"/>
        <w:jc w:val="both"/>
        <w:rPr>
          <w:rFonts w:eastAsia="Calibri" w:cstheme="minorHAnsi"/>
          <w:lang w:eastAsia="fr-FR"/>
        </w:rPr>
      </w:pPr>
      <w:r w:rsidRPr="0032175F">
        <w:rPr>
          <w:rFonts w:eastAsia="Calibri" w:cstheme="minorHAnsi"/>
          <w:lang w:eastAsia="fr-FR"/>
        </w:rPr>
        <w:t>La régulation de la mathématisation des éléme</w:t>
      </w:r>
      <w:r w:rsidRPr="0032175F">
        <w:rPr>
          <w:rFonts w:eastAsia="Calibri" w:cstheme="minorHAnsi"/>
          <w:lang w:eastAsia="fr-FR"/>
        </w:rPr>
        <w:t>nts du jeu de faire-semblant</w:t>
      </w:r>
    </w:p>
    <w:p w:rsidR="0032175F" w:rsidRPr="0032175F" w:rsidRDefault="0032175F" w:rsidP="0032175F">
      <w:pPr>
        <w:spacing w:after="0" w:line="240" w:lineRule="auto"/>
        <w:jc w:val="both"/>
        <w:rPr>
          <w:rFonts w:eastAsia="Calibri" w:cstheme="minorHAnsi"/>
          <w:lang w:eastAsia="fr-FR"/>
        </w:rPr>
      </w:pPr>
      <w:r w:rsidRPr="0032175F">
        <w:rPr>
          <w:rFonts w:eastAsia="Calibri" w:cstheme="minorHAnsi"/>
          <w:lang w:eastAsia="fr-FR"/>
        </w:rPr>
        <w:t xml:space="preserve">: </w:t>
      </w:r>
      <w:r w:rsidRPr="0032175F">
        <w:rPr>
          <w:rFonts w:eastAsia="Calibri" w:cstheme="minorHAnsi"/>
          <w:lang w:eastAsia="fr-FR"/>
        </w:rPr>
        <w:t>le rôle des compétences cognitives et socio-affectives spécifiques</w:t>
      </w:r>
      <w:r w:rsidRPr="0032175F">
        <w:rPr>
          <w:rFonts w:eastAsia="Calibri" w:cstheme="minorHAnsi"/>
          <w:lang w:eastAsia="fr-FR"/>
        </w:rPr>
        <w:t xml:space="preserve"> </w:t>
      </w:r>
      <w:r w:rsidR="00940068">
        <w:rPr>
          <w:rFonts w:eastAsia="Calibri" w:cstheme="minorHAnsi"/>
          <w:lang w:eastAsia="fr-FR"/>
        </w:rPr>
        <w:t xml:space="preserve">           </w:t>
      </w:r>
      <w:r w:rsidRPr="0032175F">
        <w:rPr>
          <w:rFonts w:eastAsia="Calibri" w:cstheme="minorHAnsi"/>
          <w:lang w:eastAsia="fr-FR"/>
        </w:rPr>
        <w:t>L. AMRAR &amp; A. CLERC-GEORGY</w:t>
      </w:r>
    </w:p>
    <w:p w:rsidR="00940068" w:rsidRDefault="0032175F" w:rsidP="0032175F">
      <w:pPr>
        <w:spacing w:after="0" w:line="240" w:lineRule="auto"/>
        <w:jc w:val="both"/>
        <w:rPr>
          <w:rFonts w:eastAsia="Calibri" w:cstheme="minorHAnsi"/>
          <w:lang w:eastAsia="fr-FR"/>
        </w:rPr>
      </w:pPr>
      <w:r w:rsidRPr="0032175F">
        <w:rPr>
          <w:rFonts w:eastAsia="Calibri" w:cstheme="minorHAnsi"/>
          <w:lang w:eastAsia="fr-FR"/>
        </w:rPr>
        <w:t xml:space="preserve">Le développement du jeu chez les enfants </w:t>
      </w:r>
      <w:r w:rsidR="00940068">
        <w:rPr>
          <w:rFonts w:eastAsia="Calibri" w:cstheme="minorHAnsi"/>
          <w:lang w:eastAsia="fr-FR"/>
        </w:rPr>
        <w:t xml:space="preserve">déficients visuels </w:t>
      </w:r>
    </w:p>
    <w:p w:rsidR="0032175F" w:rsidRPr="0032175F" w:rsidRDefault="00940068" w:rsidP="0032175F">
      <w:pPr>
        <w:spacing w:after="0" w:line="240" w:lineRule="auto"/>
        <w:jc w:val="both"/>
        <w:rPr>
          <w:rFonts w:eastAsia="Calibri" w:cstheme="minorHAnsi"/>
          <w:lang w:eastAsia="fr-FR"/>
        </w:rPr>
      </w:pPr>
      <w:r>
        <w:rPr>
          <w:rFonts w:eastAsia="Calibri" w:cstheme="minorHAnsi"/>
          <w:lang w:eastAsia="fr-FR"/>
        </w:rPr>
        <w:t xml:space="preserve">                                                                                                    </w:t>
      </w:r>
      <w:r w:rsidR="0032175F" w:rsidRPr="0032175F">
        <w:rPr>
          <w:rFonts w:eastAsia="Calibri" w:cstheme="minorHAnsi"/>
          <w:lang w:eastAsia="fr-FR"/>
        </w:rPr>
        <w:t>D. VALENTE, A. R. GALIANO &amp; N. BALTENNECK</w:t>
      </w:r>
    </w:p>
    <w:p w:rsidR="00DB59EC" w:rsidRPr="0032175F" w:rsidRDefault="0032175F" w:rsidP="0032175F">
      <w:pPr>
        <w:spacing w:after="0" w:line="240" w:lineRule="auto"/>
        <w:jc w:val="both"/>
        <w:rPr>
          <w:rFonts w:eastAsia="Calibri" w:cstheme="minorHAnsi"/>
          <w:lang w:eastAsia="fr-FR"/>
        </w:rPr>
      </w:pPr>
      <w:r w:rsidRPr="0032175F">
        <w:rPr>
          <w:rFonts w:eastAsia="Calibri" w:cstheme="minorHAnsi"/>
          <w:lang w:eastAsia="fr-FR"/>
        </w:rPr>
        <w:t>Le jeu chez l’enfant sourd</w:t>
      </w:r>
      <w:r w:rsidRPr="0032175F">
        <w:rPr>
          <w:rFonts w:eastAsia="Calibri" w:cstheme="minorHAnsi"/>
          <w:lang w:eastAsia="fr-FR"/>
        </w:rPr>
        <w:t xml:space="preserve"> </w:t>
      </w:r>
      <w:r w:rsidRPr="0032175F">
        <w:rPr>
          <w:rFonts w:eastAsia="Calibri" w:cstheme="minorHAnsi"/>
          <w:lang w:eastAsia="fr-FR"/>
        </w:rPr>
        <w:t xml:space="preserve">J. </w:t>
      </w:r>
      <w:r w:rsidR="00940068">
        <w:rPr>
          <w:rFonts w:eastAsia="Calibri" w:cstheme="minorHAnsi"/>
          <w:lang w:eastAsia="fr-FR"/>
        </w:rPr>
        <w:t xml:space="preserve">                                                                                            </w:t>
      </w:r>
      <w:r w:rsidRPr="0032175F">
        <w:rPr>
          <w:rFonts w:eastAsia="Calibri" w:cstheme="minorHAnsi"/>
          <w:lang w:eastAsia="fr-FR"/>
        </w:rPr>
        <w:t>MALSERT</w:t>
      </w:r>
      <w:r w:rsidRPr="0032175F">
        <w:rPr>
          <w:rFonts w:eastAsia="Calibri" w:cstheme="minorHAnsi"/>
          <w:lang w:eastAsia="fr-FR"/>
        </w:rPr>
        <w:t xml:space="preserve"> </w:t>
      </w:r>
      <w:r w:rsidR="00DB59EC" w:rsidRPr="0032175F">
        <w:rPr>
          <w:rFonts w:eastAsia="Calibri" w:cstheme="minorHAnsi"/>
          <w:lang w:eastAsia="fr-FR"/>
        </w:rPr>
        <w:t>C. CLÉMENT</w:t>
      </w:r>
    </w:p>
    <w:p w:rsidR="00F124B2" w:rsidRPr="0032175F" w:rsidRDefault="00F124B2" w:rsidP="001454F5">
      <w:pPr>
        <w:spacing w:after="0" w:line="240" w:lineRule="auto"/>
        <w:rPr>
          <w:rFonts w:eastAsia="Calibri" w:cstheme="minorHAnsi"/>
          <w:b/>
          <w:bCs/>
          <w:lang w:eastAsia="fr-FR"/>
        </w:rPr>
      </w:pPr>
    </w:p>
    <w:p w:rsidR="0032175F" w:rsidRPr="0032175F" w:rsidRDefault="0032175F" w:rsidP="0032175F">
      <w:pPr>
        <w:pStyle w:val="Styledeparagraphe1"/>
        <w:spacing w:before="57"/>
        <w:rPr>
          <w:rFonts w:asciiTheme="minorHAnsi" w:hAnsiTheme="minorHAnsi" w:cstheme="minorHAnsi"/>
          <w:sz w:val="22"/>
          <w:szCs w:val="22"/>
        </w:rPr>
      </w:pPr>
      <w:r w:rsidRPr="0032175F">
        <w:rPr>
          <w:rFonts w:asciiTheme="minorHAnsi" w:hAnsiTheme="minorHAnsi" w:cstheme="minorHAnsi"/>
          <w:sz w:val="22"/>
          <w:szCs w:val="22"/>
        </w:rPr>
        <w:t>VARIA</w:t>
      </w:r>
    </w:p>
    <w:p w:rsidR="00363752" w:rsidRPr="0032175F" w:rsidRDefault="0032175F" w:rsidP="0032175F">
      <w:pPr>
        <w:spacing w:after="0" w:line="240" w:lineRule="auto"/>
        <w:rPr>
          <w:rFonts w:eastAsia="Calibri" w:cstheme="minorHAnsi"/>
          <w:lang w:eastAsia="fr-FR"/>
        </w:rPr>
      </w:pPr>
      <w:r w:rsidRPr="0032175F">
        <w:rPr>
          <w:rFonts w:eastAsia="Calibri" w:cstheme="minorHAnsi"/>
          <w:lang w:eastAsia="fr-FR"/>
        </w:rPr>
        <w:t>Validation préliminaire en contexte français de la tâche Head-</w:t>
      </w:r>
      <w:proofErr w:type="spellStart"/>
      <w:r w:rsidRPr="0032175F">
        <w:rPr>
          <w:rFonts w:eastAsia="Calibri" w:cstheme="minorHAnsi"/>
          <w:lang w:eastAsia="fr-FR"/>
        </w:rPr>
        <w:t>Toes</w:t>
      </w:r>
      <w:proofErr w:type="spellEnd"/>
      <w:r w:rsidRPr="0032175F">
        <w:rPr>
          <w:rFonts w:eastAsia="Calibri" w:cstheme="minorHAnsi"/>
          <w:lang w:eastAsia="fr-FR"/>
        </w:rPr>
        <w:t>-</w:t>
      </w:r>
      <w:proofErr w:type="spellStart"/>
      <w:r w:rsidRPr="0032175F">
        <w:rPr>
          <w:rFonts w:eastAsia="Calibri" w:cstheme="minorHAnsi"/>
          <w:lang w:eastAsia="fr-FR"/>
        </w:rPr>
        <w:t>Knees-Shoulders</w:t>
      </w:r>
      <w:proofErr w:type="spellEnd"/>
      <w:r w:rsidRPr="0032175F">
        <w:rPr>
          <w:rFonts w:eastAsia="Calibri" w:cstheme="minorHAnsi"/>
          <w:lang w:eastAsia="fr-FR"/>
        </w:rPr>
        <w:t xml:space="preserve"> (HTKS, </w:t>
      </w:r>
      <w:proofErr w:type="spellStart"/>
      <w:r w:rsidRPr="0032175F">
        <w:rPr>
          <w:rFonts w:eastAsia="Calibri" w:cstheme="minorHAnsi"/>
          <w:lang w:eastAsia="fr-FR"/>
        </w:rPr>
        <w:t>Ponitz</w:t>
      </w:r>
      <w:proofErr w:type="spellEnd"/>
      <w:r w:rsidRPr="0032175F">
        <w:rPr>
          <w:rFonts w:eastAsia="Calibri" w:cstheme="minorHAnsi"/>
          <w:lang w:eastAsia="fr-FR"/>
        </w:rPr>
        <w:t xml:space="preserve">, </w:t>
      </w:r>
      <w:proofErr w:type="spellStart"/>
      <w:r w:rsidRPr="0032175F">
        <w:rPr>
          <w:rFonts w:eastAsia="Calibri" w:cstheme="minorHAnsi"/>
          <w:lang w:eastAsia="fr-FR"/>
        </w:rPr>
        <w:t>McClelland</w:t>
      </w:r>
      <w:proofErr w:type="spellEnd"/>
      <w:r w:rsidRPr="0032175F">
        <w:rPr>
          <w:rFonts w:eastAsia="Calibri" w:cstheme="minorHAnsi"/>
          <w:lang w:eastAsia="fr-FR"/>
        </w:rPr>
        <w:t xml:space="preserve"> et al., 2009) évaluant le contrôle inhibiteur chez des enfants de grande section de maternelle </w:t>
      </w:r>
      <w:r w:rsidRPr="0032175F">
        <w:rPr>
          <w:rFonts w:eastAsia="Calibri" w:cstheme="minorHAnsi"/>
          <w:lang w:eastAsia="fr-FR"/>
        </w:rPr>
        <w:tab/>
      </w:r>
      <w:r w:rsidR="00940068">
        <w:rPr>
          <w:rFonts w:eastAsia="Calibri" w:cstheme="minorHAnsi"/>
          <w:lang w:eastAsia="fr-FR"/>
        </w:rPr>
        <w:t xml:space="preserve">                                                       </w:t>
      </w:r>
      <w:proofErr w:type="gramStart"/>
      <w:r w:rsidR="00940068">
        <w:rPr>
          <w:rFonts w:eastAsia="Calibri" w:cstheme="minorHAnsi"/>
          <w:lang w:eastAsia="fr-FR"/>
        </w:rPr>
        <w:t xml:space="preserve">  </w:t>
      </w:r>
      <w:r w:rsidRPr="0032175F">
        <w:rPr>
          <w:rFonts w:eastAsia="Calibri" w:cstheme="minorHAnsi"/>
          <w:lang w:eastAsia="fr-FR"/>
        </w:rPr>
        <w:t>.</w:t>
      </w:r>
      <w:proofErr w:type="gramEnd"/>
      <w:r w:rsidRPr="0032175F">
        <w:rPr>
          <w:rFonts w:eastAsia="Calibri" w:cstheme="minorHAnsi"/>
          <w:lang w:eastAsia="fr-FR"/>
        </w:rPr>
        <w:t xml:space="preserve"> HUBERT, P. GUIMARD, A. FLORIN &amp; S. BOUDERBELA</w:t>
      </w:r>
    </w:p>
    <w:p w:rsidR="0032175F" w:rsidRPr="0032175F" w:rsidRDefault="0032175F" w:rsidP="0032175F">
      <w:pPr>
        <w:spacing w:after="0" w:line="240" w:lineRule="auto"/>
        <w:rPr>
          <w:rFonts w:eastAsia="Calibri" w:cstheme="minorHAnsi"/>
          <w:lang w:eastAsia="fr-FR"/>
        </w:rPr>
      </w:pPr>
    </w:p>
    <w:p w:rsidR="0032175F" w:rsidRPr="0032175F" w:rsidRDefault="0032175F" w:rsidP="0032175F">
      <w:pPr>
        <w:pStyle w:val="Styledeparagraphe1"/>
        <w:spacing w:before="57"/>
        <w:rPr>
          <w:rFonts w:asciiTheme="minorHAnsi" w:hAnsiTheme="minorHAnsi" w:cstheme="minorHAnsi"/>
          <w:sz w:val="22"/>
          <w:szCs w:val="22"/>
        </w:rPr>
      </w:pPr>
      <w:r w:rsidRPr="0032175F">
        <w:rPr>
          <w:rFonts w:asciiTheme="minorHAnsi" w:hAnsiTheme="minorHAnsi" w:cstheme="minorHAnsi"/>
          <w:sz w:val="22"/>
          <w:szCs w:val="22"/>
        </w:rPr>
        <w:t>le cahier pratique</w:t>
      </w:r>
    </w:p>
    <w:p w:rsidR="0032175F" w:rsidRPr="0032175F" w:rsidRDefault="0032175F" w:rsidP="0032175F">
      <w:pPr>
        <w:spacing w:after="0" w:line="240" w:lineRule="auto"/>
        <w:rPr>
          <w:rFonts w:eastAsia="Calibri" w:cstheme="minorHAnsi"/>
          <w:lang w:eastAsia="fr-FR"/>
        </w:rPr>
      </w:pPr>
      <w:r w:rsidRPr="0032175F">
        <w:rPr>
          <w:rFonts w:cstheme="minorHAnsi"/>
        </w:rPr>
        <w:t>Professionnels qui êtes-vous ? Les ergothérapeutes</w:t>
      </w:r>
      <w:r w:rsidRPr="0032175F">
        <w:rPr>
          <w:rFonts w:cstheme="minorHAnsi"/>
        </w:rPr>
        <w:t xml:space="preserve"> </w:t>
      </w:r>
      <w:r w:rsidR="00940068">
        <w:rPr>
          <w:rFonts w:cstheme="minorHAnsi"/>
        </w:rPr>
        <w:t xml:space="preserve">                                         </w:t>
      </w:r>
      <w:r w:rsidRPr="0032175F">
        <w:rPr>
          <w:rFonts w:cstheme="minorHAnsi"/>
        </w:rPr>
        <w:t>C. GALBIATI &amp; L. ROUAULT</w:t>
      </w:r>
    </w:p>
    <w:p w:rsidR="0032175F" w:rsidRPr="0032175F" w:rsidRDefault="0032175F" w:rsidP="001454F5">
      <w:pPr>
        <w:spacing w:after="0" w:line="240" w:lineRule="auto"/>
        <w:jc w:val="center"/>
        <w:rPr>
          <w:rFonts w:cstheme="minorHAnsi"/>
        </w:rPr>
      </w:pPr>
    </w:p>
    <w:p w:rsidR="001454F5" w:rsidRPr="0032175F" w:rsidRDefault="00C52B9F" w:rsidP="001454F5">
      <w:pPr>
        <w:spacing w:after="0" w:line="240" w:lineRule="auto"/>
        <w:jc w:val="center"/>
        <w:rPr>
          <w:rFonts w:eastAsia="Calibri" w:cstheme="minorHAnsi"/>
          <w:b/>
          <w:bCs/>
          <w:color w:val="C00000"/>
          <w:u w:val="single"/>
          <w:lang w:eastAsia="fr-FR"/>
        </w:rPr>
      </w:pPr>
      <w:hyperlink r:id="rId8" w:history="1">
        <w:r w:rsidR="001454F5" w:rsidRPr="0032175F">
          <w:rPr>
            <w:rFonts w:eastAsia="Calibri" w:cstheme="minorHAnsi"/>
            <w:b/>
            <w:bCs/>
            <w:color w:val="C00000"/>
            <w:u w:val="single"/>
            <w:lang w:eastAsia="fr-FR"/>
          </w:rPr>
          <w:t>Acheter le N° 16</w:t>
        </w:r>
        <w:r w:rsidR="00940068">
          <w:rPr>
            <w:rFonts w:eastAsia="Calibri" w:cstheme="minorHAnsi"/>
            <w:b/>
            <w:bCs/>
            <w:color w:val="C00000"/>
            <w:u w:val="single"/>
            <w:lang w:eastAsia="fr-FR"/>
          </w:rPr>
          <w:t>5</w:t>
        </w:r>
      </w:hyperlink>
    </w:p>
    <w:p w:rsidR="001454F5" w:rsidRPr="0032175F" w:rsidRDefault="001454F5" w:rsidP="001454F5">
      <w:pPr>
        <w:spacing w:after="0" w:line="240" w:lineRule="auto"/>
        <w:jc w:val="center"/>
        <w:rPr>
          <w:rFonts w:eastAsia="Calibri" w:cstheme="minorHAnsi"/>
          <w:color w:val="C00000"/>
          <w:lang w:eastAsia="fr-FR"/>
        </w:rPr>
      </w:pPr>
      <w:r w:rsidRPr="0032175F">
        <w:rPr>
          <w:rFonts w:eastAsia="Calibri" w:cstheme="minorHAnsi"/>
          <w:lang w:eastAsia="fr-FR"/>
        </w:rPr>
        <w:t> </w:t>
      </w:r>
      <w:hyperlink r:id="rId9" w:history="1">
        <w:r w:rsidRPr="0043138E">
          <w:rPr>
            <w:rStyle w:val="Lienhypertexte"/>
            <w:rFonts w:eastAsia="Calibri" w:cstheme="minorHAnsi"/>
            <w:b/>
            <w:bCs/>
            <w:color w:val="C00000"/>
            <w:lang w:eastAsia="fr-FR"/>
          </w:rPr>
          <w:t>S’abonner ou se réabonner pour 20</w:t>
        </w:r>
        <w:r w:rsidR="00940068" w:rsidRPr="0043138E">
          <w:rPr>
            <w:rStyle w:val="Lienhypertexte"/>
            <w:rFonts w:eastAsia="Calibri" w:cstheme="minorHAnsi"/>
            <w:b/>
            <w:bCs/>
            <w:color w:val="C00000"/>
            <w:lang w:eastAsia="fr-FR"/>
          </w:rPr>
          <w:t>20</w:t>
        </w:r>
      </w:hyperlink>
    </w:p>
    <w:p w:rsidR="001454F5" w:rsidRPr="0032175F" w:rsidRDefault="001454F5" w:rsidP="001454F5">
      <w:pPr>
        <w:spacing w:after="0" w:line="240" w:lineRule="auto"/>
        <w:jc w:val="center"/>
        <w:rPr>
          <w:rFonts w:eastAsia="Calibri" w:cstheme="minorHAnsi"/>
          <w:lang w:eastAsia="fr-FR"/>
        </w:rPr>
      </w:pPr>
      <w:r w:rsidRPr="0032175F">
        <w:rPr>
          <w:rFonts w:eastAsia="Calibri" w:cstheme="minorHAnsi"/>
          <w:lang w:eastAsia="fr-FR"/>
        </w:rPr>
        <w:t> </w:t>
      </w:r>
    </w:p>
    <w:p w:rsidR="001454F5" w:rsidRPr="0032175F" w:rsidRDefault="001454F5" w:rsidP="001454F5">
      <w:pPr>
        <w:spacing w:after="0" w:line="240" w:lineRule="auto"/>
        <w:jc w:val="center"/>
        <w:rPr>
          <w:rFonts w:eastAsia="Calibri" w:cstheme="minorHAnsi"/>
          <w:lang w:eastAsia="fr-FR"/>
        </w:rPr>
      </w:pPr>
      <w:r w:rsidRPr="0032175F">
        <w:rPr>
          <w:rFonts w:eastAsia="Calibri" w:cstheme="minorHAnsi"/>
          <w:b/>
          <w:bCs/>
          <w:color w:val="C00000"/>
          <w:lang w:eastAsia="fr-FR"/>
        </w:rPr>
        <w:t>Vous pouvez aussi télécharger le bon de commande en pièce jointe</w:t>
      </w:r>
    </w:p>
    <w:p w:rsidR="001454F5" w:rsidRPr="0032175F" w:rsidRDefault="001454F5" w:rsidP="001454F5">
      <w:pPr>
        <w:spacing w:after="0" w:line="240" w:lineRule="auto"/>
        <w:jc w:val="center"/>
        <w:rPr>
          <w:rFonts w:eastAsia="Calibri" w:cstheme="minorHAnsi"/>
          <w:lang w:eastAsia="fr-FR"/>
        </w:rPr>
      </w:pPr>
      <w:r w:rsidRPr="0032175F">
        <w:rPr>
          <w:rFonts w:eastAsia="Calibri" w:cstheme="minorHAnsi"/>
          <w:lang w:eastAsia="fr-FR"/>
        </w:rPr>
        <w:t> </w:t>
      </w:r>
    </w:p>
    <w:p w:rsidR="001454F5" w:rsidRPr="0032175F" w:rsidRDefault="001454F5" w:rsidP="001454F5">
      <w:pPr>
        <w:spacing w:after="0" w:line="240" w:lineRule="auto"/>
        <w:jc w:val="center"/>
        <w:rPr>
          <w:rFonts w:eastAsia="Calibri" w:cstheme="minorHAnsi"/>
          <w:lang w:eastAsia="fr-FR"/>
        </w:rPr>
      </w:pPr>
      <w:r w:rsidRPr="0032175F">
        <w:rPr>
          <w:rFonts w:eastAsia="Calibri" w:cstheme="minorHAnsi"/>
          <w:b/>
          <w:bCs/>
          <w:color w:val="C00000"/>
          <w:lang w:eastAsia="fr-FR"/>
        </w:rPr>
        <w:t>Ce numéro fait partie de l’abonnement 20</w:t>
      </w:r>
      <w:r w:rsidR="00940068">
        <w:rPr>
          <w:rFonts w:eastAsia="Calibri" w:cstheme="minorHAnsi"/>
          <w:b/>
          <w:bCs/>
          <w:color w:val="C00000"/>
          <w:lang w:eastAsia="fr-FR"/>
        </w:rPr>
        <w:t>20</w:t>
      </w:r>
      <w:r w:rsidRPr="0032175F">
        <w:rPr>
          <w:rFonts w:eastAsia="Calibri" w:cstheme="minorHAnsi"/>
          <w:b/>
          <w:bCs/>
          <w:color w:val="C00000"/>
          <w:lang w:eastAsia="fr-FR"/>
        </w:rPr>
        <w:t>, Vol 31, N° 1</w:t>
      </w:r>
      <w:r w:rsidR="00940068">
        <w:rPr>
          <w:rFonts w:eastAsia="Calibri" w:cstheme="minorHAnsi"/>
          <w:b/>
          <w:bCs/>
          <w:color w:val="C00000"/>
          <w:lang w:eastAsia="fr-FR"/>
        </w:rPr>
        <w:t>64</w:t>
      </w:r>
      <w:r w:rsidRPr="0032175F">
        <w:rPr>
          <w:rFonts w:eastAsia="Calibri" w:cstheme="minorHAnsi"/>
          <w:b/>
          <w:bCs/>
          <w:color w:val="C00000"/>
          <w:lang w:eastAsia="fr-FR"/>
        </w:rPr>
        <w:t xml:space="preserve"> à 16</w:t>
      </w:r>
      <w:r w:rsidR="00940068">
        <w:rPr>
          <w:rFonts w:eastAsia="Calibri" w:cstheme="minorHAnsi"/>
          <w:b/>
          <w:bCs/>
          <w:color w:val="C00000"/>
          <w:lang w:eastAsia="fr-FR"/>
        </w:rPr>
        <w:t>9</w:t>
      </w:r>
    </w:p>
    <w:p w:rsidR="001454F5" w:rsidRPr="00F124B2" w:rsidRDefault="001454F5" w:rsidP="001454F5">
      <w:pPr>
        <w:spacing w:after="0" w:line="240" w:lineRule="auto"/>
        <w:rPr>
          <w:rFonts w:ascii="Calibri" w:eastAsia="Calibri" w:hAnsi="Calibri" w:cs="Calibri"/>
          <w:sz w:val="18"/>
          <w:szCs w:val="20"/>
          <w:lang w:eastAsia="fr-FR"/>
        </w:rPr>
      </w:pPr>
      <w:r w:rsidRPr="00F124B2">
        <w:rPr>
          <w:rFonts w:ascii="Calibri" w:eastAsia="Calibri" w:hAnsi="Calibri" w:cs="Calibri"/>
          <w:sz w:val="18"/>
          <w:szCs w:val="20"/>
          <w:lang w:eastAsia="fr-FR"/>
        </w:rPr>
        <w:t> </w:t>
      </w:r>
      <w:r w:rsidRPr="00F124B2">
        <w:rPr>
          <w:rFonts w:ascii="Calibri" w:eastAsia="Calibri" w:hAnsi="Calibri" w:cs="Calibri"/>
          <w:b/>
          <w:bCs/>
          <w:color w:val="44546A"/>
          <w:sz w:val="18"/>
          <w:szCs w:val="20"/>
          <w:lang w:eastAsia="fr-FR"/>
        </w:rPr>
        <w:t> </w:t>
      </w:r>
    </w:p>
    <w:p w:rsidR="00B63432" w:rsidRPr="00B63432" w:rsidRDefault="00B63432" w:rsidP="00B63432">
      <w:pPr>
        <w:shd w:val="clear" w:color="auto" w:fill="FFFFFF"/>
        <w:spacing w:after="0" w:line="240" w:lineRule="auto"/>
        <w:rPr>
          <w:rFonts w:ascii="Arial" w:eastAsia="Times New Roman" w:hAnsi="Arial" w:cs="Arial"/>
          <w:color w:val="000000"/>
          <w:sz w:val="20"/>
          <w:szCs w:val="24"/>
          <w:lang w:eastAsia="fr-FR"/>
        </w:rPr>
      </w:pPr>
      <w:r w:rsidRPr="00B63432">
        <w:rPr>
          <w:rFonts w:ascii="Arial" w:eastAsia="Calibri" w:hAnsi="Arial" w:cs="Arial"/>
          <w:b/>
          <w:bCs/>
          <w:color w:val="000000"/>
          <w:sz w:val="20"/>
          <w:szCs w:val="24"/>
          <w:lang w:eastAsia="fr-FR"/>
        </w:rPr>
        <w:t>A.N.A.E. N° 164 –</w:t>
      </w:r>
      <w:r w:rsidRPr="00B63432">
        <w:rPr>
          <w:rFonts w:ascii="Arial" w:eastAsia="Calibri" w:hAnsi="Arial" w:cs="Arial"/>
          <w:color w:val="000000"/>
          <w:sz w:val="20"/>
          <w:szCs w:val="24"/>
          <w:lang w:eastAsia="fr-FR"/>
        </w:rPr>
        <w:t xml:space="preserve"> Prévenir les troubles de développement du langage en collaborant dans les milieux éducatifs : l’orthophonie en petite enfance et en milieu (pré)-scolaire. </w:t>
      </w:r>
      <w:r w:rsidRPr="00B63432">
        <w:rPr>
          <w:rFonts w:ascii="Arial" w:eastAsia="Times New Roman" w:hAnsi="Arial" w:cs="Arial"/>
          <w:i/>
          <w:color w:val="000000"/>
          <w:sz w:val="18"/>
          <w:szCs w:val="24"/>
          <w:lang w:eastAsia="fr-FR"/>
        </w:rPr>
        <w:t>Dossier coordonné par le</w:t>
      </w:r>
      <w:r w:rsidRPr="00B63432">
        <w:rPr>
          <w:rFonts w:ascii="Arial" w:eastAsia="Times New Roman" w:hAnsi="Arial" w:cs="Arial"/>
          <w:color w:val="000000"/>
          <w:sz w:val="18"/>
          <w:szCs w:val="24"/>
          <w:lang w:eastAsia="fr-FR"/>
        </w:rPr>
        <w:t xml:space="preserve"> </w:t>
      </w:r>
      <w:r w:rsidRPr="00B63432">
        <w:rPr>
          <w:rFonts w:ascii="Arial" w:eastAsia="Times New Roman" w:hAnsi="Arial" w:cs="Arial"/>
          <w:i/>
          <w:iCs/>
          <w:color w:val="000000"/>
          <w:sz w:val="18"/>
          <w:szCs w:val="24"/>
          <w:lang w:eastAsia="fr-FR"/>
        </w:rPr>
        <w:t>Pr C. Maillart, Université de Liège (B).</w:t>
      </w:r>
      <w:r w:rsidRPr="00B63432">
        <w:rPr>
          <w:rFonts w:ascii="Arial" w:eastAsia="Times New Roman" w:hAnsi="Arial" w:cs="Arial"/>
          <w:color w:val="000000"/>
          <w:sz w:val="18"/>
          <w:szCs w:val="24"/>
          <w:lang w:eastAsia="fr-FR"/>
        </w:rPr>
        <w:t xml:space="preserve"> </w:t>
      </w:r>
    </w:p>
    <w:p w:rsidR="00B63432" w:rsidRPr="00B63432" w:rsidRDefault="00B63432" w:rsidP="00B63432">
      <w:pPr>
        <w:shd w:val="clear" w:color="auto" w:fill="FFFFFF"/>
        <w:spacing w:after="0" w:line="240" w:lineRule="auto"/>
        <w:rPr>
          <w:rFonts w:ascii="Arial" w:eastAsia="Times New Roman" w:hAnsi="Arial" w:cs="Arial"/>
          <w:color w:val="000000"/>
          <w:sz w:val="18"/>
          <w:szCs w:val="24"/>
          <w:lang w:eastAsia="fr-FR"/>
        </w:rPr>
      </w:pPr>
      <w:r w:rsidRPr="00B63432">
        <w:rPr>
          <w:rFonts w:ascii="Arial" w:eastAsia="Calibri" w:hAnsi="Arial" w:cs="Arial"/>
          <w:b/>
          <w:bCs/>
          <w:color w:val="000000"/>
          <w:sz w:val="20"/>
          <w:szCs w:val="24"/>
          <w:lang w:eastAsia="fr-FR"/>
        </w:rPr>
        <w:t>A.N.A.E. N° 165 –</w:t>
      </w:r>
      <w:r w:rsidRPr="00B63432">
        <w:rPr>
          <w:rFonts w:ascii="Arial" w:eastAsia="Calibri" w:hAnsi="Arial" w:cs="Arial"/>
          <w:color w:val="000000"/>
          <w:sz w:val="20"/>
          <w:szCs w:val="24"/>
          <w:lang w:eastAsia="fr-FR"/>
        </w:rPr>
        <w:t xml:space="preserve"> Le jeu, ses effets sur le développement psychologique de l’enfant et les apprentissages – Regards multiples </w:t>
      </w:r>
      <w:r w:rsidRPr="00B63432">
        <w:rPr>
          <w:rFonts w:ascii="Arial" w:eastAsia="Times New Roman" w:hAnsi="Arial" w:cs="Arial"/>
          <w:i/>
          <w:color w:val="000000"/>
          <w:sz w:val="18"/>
          <w:szCs w:val="24"/>
          <w:lang w:eastAsia="fr-FR"/>
        </w:rPr>
        <w:t xml:space="preserve">Dossier coordonné par </w:t>
      </w:r>
      <w:r w:rsidRPr="00B63432">
        <w:rPr>
          <w:rFonts w:ascii="Arial" w:eastAsia="Times New Roman" w:hAnsi="Arial" w:cs="Arial"/>
          <w:i/>
          <w:iCs/>
          <w:color w:val="000000"/>
          <w:sz w:val="18"/>
          <w:szCs w:val="24"/>
          <w:lang w:eastAsia="fr-FR"/>
        </w:rPr>
        <w:t>S.-S. Richard-</w:t>
      </w:r>
      <w:proofErr w:type="spellStart"/>
      <w:r w:rsidRPr="00B63432">
        <w:rPr>
          <w:rFonts w:ascii="Arial" w:eastAsia="Times New Roman" w:hAnsi="Arial" w:cs="Arial"/>
          <w:i/>
          <w:iCs/>
          <w:color w:val="000000"/>
          <w:sz w:val="18"/>
          <w:szCs w:val="24"/>
          <w:lang w:eastAsia="fr-FR"/>
        </w:rPr>
        <w:t>Glassey</w:t>
      </w:r>
      <w:proofErr w:type="spellEnd"/>
      <w:r w:rsidRPr="00B63432">
        <w:rPr>
          <w:rFonts w:ascii="Arial" w:eastAsia="Times New Roman" w:hAnsi="Arial" w:cs="Arial"/>
          <w:i/>
          <w:iCs/>
          <w:color w:val="000000"/>
          <w:sz w:val="18"/>
          <w:szCs w:val="24"/>
          <w:lang w:eastAsia="fr-FR"/>
        </w:rPr>
        <w:t>, Université de Genève (CH).</w:t>
      </w:r>
      <w:r w:rsidRPr="00B63432">
        <w:rPr>
          <w:rFonts w:ascii="Arial" w:eastAsia="Times New Roman" w:hAnsi="Arial" w:cs="Arial"/>
          <w:color w:val="000000"/>
          <w:sz w:val="18"/>
          <w:szCs w:val="24"/>
          <w:lang w:eastAsia="fr-FR"/>
        </w:rPr>
        <w:t xml:space="preserve"> </w:t>
      </w:r>
    </w:p>
    <w:p w:rsidR="00B63432" w:rsidRPr="00B63432" w:rsidRDefault="00B63432" w:rsidP="00B63432">
      <w:pPr>
        <w:shd w:val="clear" w:color="auto" w:fill="FFFFFF"/>
        <w:spacing w:after="0" w:line="240" w:lineRule="auto"/>
        <w:rPr>
          <w:rFonts w:ascii="Arial" w:eastAsia="Times New Roman" w:hAnsi="Arial" w:cs="Arial"/>
          <w:color w:val="000000"/>
          <w:sz w:val="20"/>
          <w:szCs w:val="24"/>
          <w:lang w:eastAsia="fr-FR"/>
        </w:rPr>
      </w:pPr>
      <w:r w:rsidRPr="00B63432">
        <w:rPr>
          <w:rFonts w:ascii="Arial" w:eastAsia="Calibri" w:hAnsi="Arial" w:cs="Arial"/>
          <w:b/>
          <w:bCs/>
          <w:color w:val="000000"/>
          <w:sz w:val="20"/>
          <w:szCs w:val="24"/>
          <w:lang w:eastAsia="fr-FR"/>
        </w:rPr>
        <w:t>A.N.A.E. N° 166 –</w:t>
      </w:r>
      <w:r w:rsidRPr="00B63432">
        <w:rPr>
          <w:rFonts w:ascii="Arial" w:eastAsia="Calibri" w:hAnsi="Arial" w:cs="Arial"/>
          <w:color w:val="000000"/>
          <w:sz w:val="20"/>
          <w:szCs w:val="24"/>
          <w:lang w:eastAsia="fr-FR"/>
        </w:rPr>
        <w:t xml:space="preserve"> Acquisition du langage oral et écrit : actualités de la recherche et prise en charge.</w:t>
      </w:r>
      <w:r w:rsidRPr="00B63432">
        <w:rPr>
          <w:rFonts w:ascii="Arial" w:eastAsia="Times New Roman" w:hAnsi="Arial" w:cs="Arial"/>
          <w:color w:val="000000"/>
          <w:sz w:val="20"/>
          <w:szCs w:val="24"/>
          <w:lang w:eastAsia="fr-FR"/>
        </w:rPr>
        <w:t xml:space="preserve"> </w:t>
      </w:r>
    </w:p>
    <w:p w:rsidR="00B63432" w:rsidRPr="00B63432" w:rsidRDefault="00B63432" w:rsidP="00B63432">
      <w:pPr>
        <w:shd w:val="clear" w:color="auto" w:fill="FFFFFF"/>
        <w:spacing w:after="0" w:line="240" w:lineRule="auto"/>
        <w:rPr>
          <w:rFonts w:ascii="Arial" w:eastAsia="Times New Roman" w:hAnsi="Arial" w:cs="Arial"/>
          <w:color w:val="000000"/>
          <w:sz w:val="20"/>
          <w:szCs w:val="24"/>
          <w:lang w:eastAsia="fr-FR"/>
        </w:rPr>
      </w:pPr>
      <w:r w:rsidRPr="00B63432">
        <w:rPr>
          <w:rFonts w:ascii="Arial" w:eastAsia="Times New Roman" w:hAnsi="Arial" w:cs="Arial"/>
          <w:i/>
          <w:iCs/>
          <w:color w:val="000000"/>
          <w:sz w:val="18"/>
          <w:szCs w:val="24"/>
          <w:lang w:eastAsia="fr-FR"/>
        </w:rPr>
        <w:t>Dossier coordonné par le Pr B. Bourdin, Université de Picardie Jules Verne (F).</w:t>
      </w:r>
      <w:r w:rsidRPr="00B63432">
        <w:rPr>
          <w:rFonts w:ascii="Arial" w:eastAsia="Times New Roman" w:hAnsi="Arial" w:cs="Arial"/>
          <w:color w:val="000000"/>
          <w:sz w:val="18"/>
          <w:szCs w:val="24"/>
          <w:lang w:eastAsia="fr-FR"/>
        </w:rPr>
        <w:t xml:space="preserve"> </w:t>
      </w:r>
    </w:p>
    <w:p w:rsidR="00B63432" w:rsidRPr="00B63432" w:rsidRDefault="00B63432" w:rsidP="00B63432">
      <w:pPr>
        <w:shd w:val="clear" w:color="auto" w:fill="FFFFFF"/>
        <w:spacing w:after="0" w:line="240" w:lineRule="auto"/>
        <w:rPr>
          <w:rFonts w:ascii="Arial" w:eastAsia="Times New Roman" w:hAnsi="Arial" w:cs="Arial"/>
          <w:color w:val="000000"/>
          <w:sz w:val="20"/>
          <w:szCs w:val="24"/>
          <w:lang w:eastAsia="fr-FR"/>
        </w:rPr>
      </w:pPr>
      <w:r w:rsidRPr="00B63432">
        <w:rPr>
          <w:rFonts w:ascii="Arial" w:eastAsia="Calibri" w:hAnsi="Arial" w:cs="Arial"/>
          <w:b/>
          <w:bCs/>
          <w:color w:val="000000"/>
          <w:sz w:val="20"/>
          <w:szCs w:val="24"/>
          <w:lang w:eastAsia="fr-FR"/>
        </w:rPr>
        <w:t>A.N.A.E. N° 167 –</w:t>
      </w:r>
      <w:r w:rsidRPr="00B63432">
        <w:rPr>
          <w:rFonts w:ascii="Arial" w:eastAsia="Calibri" w:hAnsi="Arial" w:cs="Arial"/>
          <w:color w:val="000000"/>
          <w:sz w:val="20"/>
          <w:szCs w:val="24"/>
          <w:lang w:eastAsia="fr-FR"/>
        </w:rPr>
        <w:t xml:space="preserve"> Neuropsychologie des fonctions exécutives chez l’enfant : Enjeux scientifiques, stratégies d’examen et contextes cliniques</w:t>
      </w:r>
      <w:r w:rsidRPr="00B63432">
        <w:rPr>
          <w:rFonts w:ascii="Arial" w:eastAsia="Calibri" w:hAnsi="Arial" w:cs="Arial"/>
          <w:i/>
          <w:color w:val="000000"/>
          <w:sz w:val="20"/>
          <w:szCs w:val="24"/>
          <w:lang w:eastAsia="fr-FR"/>
        </w:rPr>
        <w:t>.</w:t>
      </w:r>
      <w:r w:rsidRPr="00B63432">
        <w:rPr>
          <w:rFonts w:ascii="Arial" w:eastAsia="Times New Roman" w:hAnsi="Arial" w:cs="Arial"/>
          <w:color w:val="000000"/>
          <w:sz w:val="20"/>
          <w:szCs w:val="24"/>
          <w:lang w:eastAsia="fr-FR"/>
        </w:rPr>
        <w:t xml:space="preserve"> </w:t>
      </w:r>
      <w:r w:rsidRPr="00B63432">
        <w:rPr>
          <w:rFonts w:ascii="Arial" w:eastAsia="Times New Roman" w:hAnsi="Arial" w:cs="Arial"/>
          <w:i/>
          <w:color w:val="000000"/>
          <w:sz w:val="18"/>
          <w:szCs w:val="24"/>
          <w:lang w:eastAsia="fr-FR"/>
        </w:rPr>
        <w:t xml:space="preserve">Dossier coordonné par </w:t>
      </w:r>
      <w:r w:rsidRPr="00B63432">
        <w:rPr>
          <w:rFonts w:ascii="Arial" w:eastAsia="Times New Roman" w:hAnsi="Arial" w:cs="Arial"/>
          <w:i/>
          <w:iCs/>
          <w:color w:val="000000"/>
          <w:sz w:val="18"/>
          <w:szCs w:val="24"/>
          <w:lang w:eastAsia="fr-FR"/>
        </w:rPr>
        <w:t>Pr. A. Roy, Université d’Angers (F).</w:t>
      </w:r>
      <w:r w:rsidRPr="00B63432">
        <w:rPr>
          <w:rFonts w:ascii="Arial" w:eastAsia="Times New Roman" w:hAnsi="Arial" w:cs="Arial"/>
          <w:color w:val="000000"/>
          <w:sz w:val="18"/>
          <w:szCs w:val="24"/>
          <w:lang w:eastAsia="fr-FR"/>
        </w:rPr>
        <w:t xml:space="preserve"> </w:t>
      </w:r>
    </w:p>
    <w:p w:rsidR="00B63432" w:rsidRPr="00B63432" w:rsidRDefault="00B63432" w:rsidP="00B63432">
      <w:pPr>
        <w:shd w:val="clear" w:color="auto" w:fill="FFFFFF"/>
        <w:spacing w:after="0" w:line="240" w:lineRule="auto"/>
        <w:rPr>
          <w:rFonts w:ascii="Arial" w:eastAsia="Times New Roman" w:hAnsi="Arial" w:cs="Arial"/>
          <w:color w:val="000000"/>
          <w:sz w:val="20"/>
          <w:szCs w:val="24"/>
          <w:lang w:eastAsia="fr-FR"/>
        </w:rPr>
      </w:pPr>
      <w:r w:rsidRPr="00B63432">
        <w:rPr>
          <w:rFonts w:ascii="Arial" w:eastAsia="Calibri" w:hAnsi="Arial" w:cs="Arial"/>
          <w:b/>
          <w:bCs/>
          <w:color w:val="000000"/>
          <w:sz w:val="20"/>
          <w:szCs w:val="24"/>
          <w:lang w:eastAsia="fr-FR"/>
        </w:rPr>
        <w:t>A.N.A.E. N° 168 –</w:t>
      </w:r>
      <w:r w:rsidRPr="00B63432">
        <w:rPr>
          <w:rFonts w:ascii="Arial" w:eastAsia="Calibri" w:hAnsi="Arial" w:cs="Arial"/>
          <w:color w:val="000000"/>
          <w:sz w:val="20"/>
          <w:szCs w:val="24"/>
          <w:lang w:eastAsia="fr-FR"/>
        </w:rPr>
        <w:t xml:space="preserve"> Espace et Apprentissages.</w:t>
      </w:r>
      <w:r w:rsidRPr="00B63432">
        <w:rPr>
          <w:rFonts w:ascii="Arial" w:eastAsia="Times New Roman" w:hAnsi="Arial" w:cs="Arial"/>
          <w:color w:val="000000"/>
          <w:sz w:val="20"/>
          <w:szCs w:val="24"/>
          <w:lang w:eastAsia="fr-FR"/>
        </w:rPr>
        <w:t xml:space="preserve"> </w:t>
      </w:r>
      <w:r w:rsidRPr="00B63432">
        <w:rPr>
          <w:rFonts w:ascii="Arial" w:eastAsia="Times New Roman" w:hAnsi="Arial" w:cs="Arial"/>
          <w:i/>
          <w:color w:val="000000"/>
          <w:sz w:val="18"/>
          <w:szCs w:val="24"/>
          <w:lang w:eastAsia="fr-FR"/>
        </w:rPr>
        <w:t xml:space="preserve">Dossier coordonné par </w:t>
      </w:r>
      <w:r w:rsidRPr="00B63432">
        <w:rPr>
          <w:rFonts w:ascii="Arial" w:eastAsia="Times New Roman" w:hAnsi="Arial" w:cs="Arial"/>
          <w:i/>
          <w:iCs/>
          <w:color w:val="000000"/>
          <w:sz w:val="18"/>
          <w:szCs w:val="24"/>
          <w:lang w:eastAsia="fr-FR"/>
        </w:rPr>
        <w:t xml:space="preserve">Pr M. </w:t>
      </w:r>
      <w:proofErr w:type="spellStart"/>
      <w:r w:rsidRPr="00B63432">
        <w:rPr>
          <w:rFonts w:ascii="Arial" w:eastAsia="Times New Roman" w:hAnsi="Arial" w:cs="Arial"/>
          <w:i/>
          <w:iCs/>
          <w:color w:val="000000"/>
          <w:sz w:val="18"/>
          <w:szCs w:val="24"/>
          <w:lang w:eastAsia="fr-FR"/>
        </w:rPr>
        <w:t>Luyat</w:t>
      </w:r>
      <w:proofErr w:type="spellEnd"/>
      <w:r w:rsidRPr="00B63432">
        <w:rPr>
          <w:rFonts w:ascii="Arial" w:eastAsia="Times New Roman" w:hAnsi="Arial" w:cs="Arial"/>
          <w:i/>
          <w:iCs/>
          <w:color w:val="000000"/>
          <w:sz w:val="18"/>
          <w:szCs w:val="24"/>
          <w:lang w:eastAsia="fr-FR"/>
        </w:rPr>
        <w:t>, Université de Lille (F).</w:t>
      </w:r>
      <w:r w:rsidRPr="00B63432">
        <w:rPr>
          <w:rFonts w:ascii="Arial" w:eastAsia="Times New Roman" w:hAnsi="Arial" w:cs="Arial"/>
          <w:color w:val="000000"/>
          <w:sz w:val="18"/>
          <w:szCs w:val="24"/>
          <w:lang w:eastAsia="fr-FR"/>
        </w:rPr>
        <w:t xml:space="preserve"> </w:t>
      </w:r>
    </w:p>
    <w:p w:rsidR="00B63432" w:rsidRPr="00B63432" w:rsidRDefault="00B63432" w:rsidP="00B63432">
      <w:pPr>
        <w:shd w:val="clear" w:color="auto" w:fill="FFFFFF"/>
        <w:spacing w:after="0" w:line="240" w:lineRule="auto"/>
        <w:rPr>
          <w:rFonts w:ascii="Arial" w:eastAsia="Times New Roman" w:hAnsi="Arial" w:cs="Arial"/>
          <w:i/>
          <w:iCs/>
          <w:color w:val="000000"/>
          <w:sz w:val="18"/>
          <w:szCs w:val="24"/>
          <w:lang w:eastAsia="fr-FR"/>
        </w:rPr>
      </w:pPr>
      <w:r w:rsidRPr="00B63432">
        <w:rPr>
          <w:rFonts w:ascii="Arial" w:eastAsia="Calibri" w:hAnsi="Arial" w:cs="Arial"/>
          <w:b/>
          <w:bCs/>
          <w:color w:val="000000"/>
          <w:sz w:val="20"/>
          <w:szCs w:val="24"/>
          <w:lang w:eastAsia="fr-FR"/>
        </w:rPr>
        <w:t>A.N.A.E. N° 169 –</w:t>
      </w:r>
      <w:r w:rsidRPr="00B63432">
        <w:rPr>
          <w:rFonts w:ascii="Arial" w:eastAsia="Calibri" w:hAnsi="Arial" w:cs="Arial"/>
          <w:color w:val="000000"/>
          <w:sz w:val="20"/>
          <w:szCs w:val="24"/>
          <w:lang w:eastAsia="fr-FR"/>
        </w:rPr>
        <w:t xml:space="preserve"> Le WISC-V.</w:t>
      </w:r>
      <w:r w:rsidRPr="00B63432">
        <w:rPr>
          <w:rFonts w:ascii="Arial" w:eastAsia="Times New Roman" w:hAnsi="Arial" w:cs="Arial"/>
          <w:color w:val="000000"/>
          <w:sz w:val="20"/>
          <w:szCs w:val="24"/>
          <w:lang w:eastAsia="fr-FR"/>
        </w:rPr>
        <w:t xml:space="preserve"> </w:t>
      </w:r>
      <w:r w:rsidRPr="00B63432">
        <w:rPr>
          <w:rFonts w:ascii="Arial" w:eastAsia="Times New Roman" w:hAnsi="Arial" w:cs="Arial"/>
          <w:i/>
          <w:color w:val="000000"/>
          <w:sz w:val="18"/>
          <w:szCs w:val="24"/>
          <w:lang w:eastAsia="fr-FR"/>
        </w:rPr>
        <w:t>Dossier coordonné par le</w:t>
      </w:r>
      <w:r w:rsidRPr="00B63432">
        <w:rPr>
          <w:rFonts w:ascii="Arial" w:eastAsia="Times New Roman" w:hAnsi="Arial" w:cs="Arial"/>
          <w:color w:val="000000"/>
          <w:sz w:val="18"/>
          <w:szCs w:val="24"/>
          <w:lang w:eastAsia="fr-FR"/>
        </w:rPr>
        <w:t xml:space="preserve"> </w:t>
      </w:r>
      <w:r w:rsidRPr="00B63432">
        <w:rPr>
          <w:rFonts w:ascii="Arial" w:eastAsia="Times New Roman" w:hAnsi="Arial" w:cs="Arial"/>
          <w:i/>
          <w:iCs/>
          <w:color w:val="000000"/>
          <w:sz w:val="18"/>
          <w:szCs w:val="24"/>
          <w:lang w:eastAsia="fr-FR"/>
        </w:rPr>
        <w:t>Pr. J. Grégoire, Université de Louvain – UCL (B).</w:t>
      </w:r>
    </w:p>
    <w:p w:rsidR="001454F5" w:rsidRPr="00F124B2" w:rsidRDefault="001454F5" w:rsidP="001454F5">
      <w:pPr>
        <w:spacing w:after="0" w:line="240" w:lineRule="auto"/>
        <w:rPr>
          <w:rFonts w:ascii="Calibri" w:eastAsia="Calibri" w:hAnsi="Calibri" w:cs="Calibri"/>
          <w:b/>
          <w:bCs/>
          <w:sz w:val="20"/>
          <w:lang w:eastAsia="fr-FR"/>
        </w:rPr>
      </w:pPr>
    </w:p>
    <w:p w:rsidR="001454F5" w:rsidRPr="00F124B2" w:rsidRDefault="001454F5" w:rsidP="001454F5">
      <w:pPr>
        <w:spacing w:after="0" w:line="240" w:lineRule="auto"/>
        <w:rPr>
          <w:rFonts w:ascii="Arial" w:eastAsia="Calibri" w:hAnsi="Arial" w:cs="Arial"/>
          <w:i/>
          <w:iCs/>
          <w:sz w:val="18"/>
          <w:szCs w:val="20"/>
          <w:lang w:eastAsia="fr-FR"/>
        </w:rPr>
      </w:pPr>
      <w:r w:rsidRPr="00F124B2">
        <w:rPr>
          <w:rFonts w:ascii="Arial" w:eastAsia="Calibri" w:hAnsi="Arial" w:cs="Arial"/>
          <w:i/>
          <w:iCs/>
          <w:sz w:val="18"/>
          <w:szCs w:val="20"/>
          <w:lang w:eastAsia="fr-FR"/>
        </w:rPr>
        <w:t>Et bien d’autres choses encore….</w:t>
      </w:r>
    </w:p>
    <w:p w:rsidR="001454F5" w:rsidRPr="00F124B2" w:rsidRDefault="001454F5" w:rsidP="001454F5">
      <w:pPr>
        <w:spacing w:after="0" w:line="240" w:lineRule="auto"/>
        <w:jc w:val="center"/>
        <w:rPr>
          <w:rFonts w:ascii="Calibri" w:eastAsia="Calibri" w:hAnsi="Calibri" w:cs="Calibri"/>
          <w:sz w:val="18"/>
          <w:szCs w:val="20"/>
          <w:lang w:eastAsia="fr-FR"/>
        </w:rPr>
      </w:pPr>
      <w:r w:rsidRPr="00F124B2">
        <w:rPr>
          <w:rFonts w:ascii="Calibri" w:eastAsia="Calibri" w:hAnsi="Calibri" w:cs="Calibri"/>
          <w:sz w:val="8"/>
          <w:szCs w:val="10"/>
          <w:lang w:eastAsia="fr-FR"/>
        </w:rPr>
        <w:t> </w:t>
      </w:r>
    </w:p>
    <w:p w:rsidR="001454F5" w:rsidRPr="00F124B2" w:rsidRDefault="00C52B9F" w:rsidP="001454F5">
      <w:pPr>
        <w:spacing w:after="0" w:line="240" w:lineRule="auto"/>
        <w:jc w:val="center"/>
        <w:rPr>
          <w:rFonts w:ascii="Calibri" w:eastAsia="Calibri" w:hAnsi="Calibri" w:cs="Calibri"/>
          <w:sz w:val="20"/>
          <w:szCs w:val="20"/>
          <w:lang w:eastAsia="fr-FR"/>
        </w:rPr>
      </w:pPr>
      <w:hyperlink r:id="rId10" w:history="1">
        <w:r w:rsidR="001454F5" w:rsidRPr="00C52B9F">
          <w:rPr>
            <w:rStyle w:val="Lienhypertexte"/>
            <w:rFonts w:ascii="Calibri" w:eastAsia="Calibri" w:hAnsi="Calibri" w:cs="Calibri"/>
            <w:b/>
            <w:bCs/>
            <w:color w:val="C00000"/>
            <w:lang w:eastAsia="fr-FR"/>
          </w:rPr>
          <w:t>Abonnez-vous</w:t>
        </w:r>
        <w:r w:rsidR="001454F5" w:rsidRPr="00C52B9F">
          <w:rPr>
            <w:rStyle w:val="Lienhypertexte"/>
            <w:rFonts w:ascii="Calibri" w:eastAsia="Calibri" w:hAnsi="Calibri" w:cs="Calibri"/>
            <w:b/>
            <w:bCs/>
            <w:i/>
            <w:iCs/>
            <w:color w:val="C00000"/>
            <w:lang w:eastAsia="fr-FR"/>
          </w:rPr>
          <w:t> </w:t>
        </w:r>
      </w:hyperlink>
      <w:r w:rsidR="001454F5" w:rsidRPr="00F124B2">
        <w:rPr>
          <w:rFonts w:ascii="Calibri" w:eastAsia="Calibri" w:hAnsi="Calibri" w:cs="Calibri"/>
          <w:b/>
          <w:bCs/>
          <w:i/>
          <w:iCs/>
          <w:sz w:val="20"/>
          <w:szCs w:val="20"/>
          <w:lang w:eastAsia="fr-FR"/>
        </w:rPr>
        <w:t xml:space="preserve">et recevez tous les numéros de l’année </w:t>
      </w:r>
      <w:r w:rsidR="00940068">
        <w:rPr>
          <w:rFonts w:ascii="Calibri" w:eastAsia="Calibri" w:hAnsi="Calibri" w:cs="Calibri"/>
          <w:b/>
          <w:bCs/>
          <w:i/>
          <w:iCs/>
          <w:sz w:val="20"/>
          <w:szCs w:val="20"/>
          <w:lang w:eastAsia="fr-FR"/>
        </w:rPr>
        <w:t>2020</w:t>
      </w:r>
      <w:r w:rsidR="001454F5" w:rsidRPr="00F124B2">
        <w:rPr>
          <w:rFonts w:ascii="Calibri" w:eastAsia="Calibri" w:hAnsi="Calibri" w:cs="Calibri"/>
          <w:b/>
          <w:bCs/>
          <w:i/>
          <w:iCs/>
          <w:sz w:val="20"/>
          <w:szCs w:val="20"/>
          <w:lang w:eastAsia="fr-FR"/>
        </w:rPr>
        <w:t>, </w:t>
      </w:r>
      <w:bookmarkStart w:id="0" w:name="_GoBack"/>
      <w:bookmarkEnd w:id="0"/>
    </w:p>
    <w:p w:rsidR="001454F5" w:rsidRPr="00F124B2" w:rsidRDefault="001454F5" w:rsidP="001454F5">
      <w:pPr>
        <w:spacing w:after="0" w:line="240" w:lineRule="auto"/>
        <w:jc w:val="center"/>
        <w:rPr>
          <w:rFonts w:ascii="Calibri" w:eastAsia="Calibri" w:hAnsi="Calibri" w:cs="Calibri"/>
          <w:sz w:val="20"/>
          <w:szCs w:val="20"/>
          <w:lang w:eastAsia="fr-FR"/>
        </w:rPr>
      </w:pPr>
      <w:r w:rsidRPr="00F124B2">
        <w:rPr>
          <w:rFonts w:ascii="Calibri" w:eastAsia="Calibri" w:hAnsi="Calibri" w:cs="Calibri"/>
          <w:b/>
          <w:bCs/>
          <w:i/>
          <w:iCs/>
          <w:sz w:val="20"/>
          <w:szCs w:val="20"/>
          <w:lang w:eastAsia="fr-FR"/>
        </w:rPr>
        <w:t>Vol 31, N° 1</w:t>
      </w:r>
      <w:r w:rsidR="00940068">
        <w:rPr>
          <w:rFonts w:ascii="Calibri" w:eastAsia="Calibri" w:hAnsi="Calibri" w:cs="Calibri"/>
          <w:b/>
          <w:bCs/>
          <w:i/>
          <w:iCs/>
          <w:sz w:val="20"/>
          <w:szCs w:val="20"/>
          <w:lang w:eastAsia="fr-FR"/>
        </w:rPr>
        <w:t xml:space="preserve">64 </w:t>
      </w:r>
      <w:r w:rsidRPr="00F124B2">
        <w:rPr>
          <w:rFonts w:ascii="Calibri" w:eastAsia="Calibri" w:hAnsi="Calibri" w:cs="Calibri"/>
          <w:b/>
          <w:bCs/>
          <w:i/>
          <w:iCs/>
          <w:sz w:val="20"/>
          <w:szCs w:val="20"/>
          <w:lang w:eastAsia="fr-FR"/>
        </w:rPr>
        <w:t>à 16</w:t>
      </w:r>
      <w:r w:rsidR="00940068">
        <w:rPr>
          <w:rFonts w:ascii="Calibri" w:eastAsia="Calibri" w:hAnsi="Calibri" w:cs="Calibri"/>
          <w:b/>
          <w:bCs/>
          <w:i/>
          <w:iCs/>
          <w:sz w:val="20"/>
          <w:szCs w:val="20"/>
          <w:lang w:eastAsia="fr-FR"/>
        </w:rPr>
        <w:t>9</w:t>
      </w:r>
    </w:p>
    <w:p w:rsidR="001454F5" w:rsidRPr="00F124B2" w:rsidRDefault="001454F5" w:rsidP="001454F5">
      <w:pPr>
        <w:spacing w:after="0" w:line="240" w:lineRule="auto"/>
        <w:jc w:val="center"/>
        <w:rPr>
          <w:rFonts w:ascii="Calibri" w:eastAsia="Calibri" w:hAnsi="Calibri" w:cs="Calibri"/>
          <w:color w:val="C00000"/>
          <w:sz w:val="18"/>
          <w:szCs w:val="20"/>
          <w:lang w:eastAsia="fr-FR"/>
        </w:rPr>
      </w:pPr>
    </w:p>
    <w:p w:rsidR="001454F5" w:rsidRPr="00F124B2" w:rsidRDefault="001454F5" w:rsidP="001454F5">
      <w:pPr>
        <w:spacing w:after="0" w:line="240" w:lineRule="auto"/>
        <w:jc w:val="center"/>
        <w:rPr>
          <w:rFonts w:ascii="Calibri" w:eastAsia="Calibri" w:hAnsi="Calibri" w:cs="Calibri"/>
          <w:sz w:val="18"/>
          <w:szCs w:val="20"/>
          <w:lang w:eastAsia="fr-FR"/>
        </w:rPr>
      </w:pPr>
      <w:r w:rsidRPr="00F124B2">
        <w:rPr>
          <w:rFonts w:ascii="Calibri" w:eastAsia="Calibri" w:hAnsi="Calibri" w:cs="Calibri"/>
          <w:b/>
          <w:bCs/>
          <w:color w:val="1F497D"/>
          <w:sz w:val="14"/>
          <w:szCs w:val="16"/>
          <w:lang w:eastAsia="fr-FR"/>
        </w:rPr>
        <w:t> </w:t>
      </w:r>
    </w:p>
    <w:p w:rsidR="001454F5" w:rsidRPr="00F124B2" w:rsidRDefault="001454F5" w:rsidP="001454F5">
      <w:pPr>
        <w:spacing w:after="20" w:line="240" w:lineRule="auto"/>
        <w:jc w:val="center"/>
        <w:rPr>
          <w:rFonts w:ascii="Calibri" w:eastAsia="Calibri" w:hAnsi="Calibri" w:cs="Calibri"/>
          <w:sz w:val="18"/>
          <w:szCs w:val="20"/>
          <w:lang w:eastAsia="fr-FR"/>
        </w:rPr>
      </w:pPr>
      <w:r w:rsidRPr="00F124B2">
        <w:rPr>
          <w:rFonts w:ascii="Times New Roman" w:eastAsia="Calibri" w:hAnsi="Times New Roman" w:cs="Times New Roman"/>
          <w:b/>
          <w:bCs/>
          <w:color w:val="C00000"/>
          <w:szCs w:val="24"/>
          <w:lang w:eastAsia="fr-FR"/>
        </w:rPr>
        <w:t>Neuropsychologie - Psychologie – Orthophonie - Logopédie – Education – ASH -  Enseignement spécialisé – Orthopédagogie - Intégration - Psychomotricité – Orthoptie – Ergothérapie - Kinésithérapie - Psychiatrie - </w:t>
      </w:r>
      <w:r w:rsidRPr="00F124B2">
        <w:rPr>
          <w:rFonts w:ascii="Times New Roman" w:eastAsia="Calibri" w:hAnsi="Times New Roman" w:cs="Times New Roman"/>
          <w:b/>
          <w:bCs/>
          <w:szCs w:val="24"/>
          <w:lang w:eastAsia="fr-FR"/>
        </w:rPr>
        <w:t> </w:t>
      </w:r>
      <w:r w:rsidRPr="00F124B2">
        <w:rPr>
          <w:rFonts w:ascii="Times New Roman" w:eastAsia="Calibri" w:hAnsi="Times New Roman" w:cs="Times New Roman"/>
          <w:b/>
          <w:bCs/>
          <w:color w:val="C00000"/>
          <w:szCs w:val="24"/>
          <w:lang w:eastAsia="fr-FR"/>
        </w:rPr>
        <w:t>MPR - Médecine Générale - Pédiatrie - Handicap – Remédiation </w:t>
      </w:r>
    </w:p>
    <w:p w:rsidR="001454F5" w:rsidRPr="00F124B2" w:rsidRDefault="001454F5" w:rsidP="001454F5">
      <w:pPr>
        <w:spacing w:after="0" w:line="240" w:lineRule="auto"/>
        <w:rPr>
          <w:rFonts w:ascii="Calibri" w:eastAsia="Calibri" w:hAnsi="Calibri" w:cs="Calibri"/>
          <w:sz w:val="20"/>
          <w:lang w:eastAsia="fr-FR"/>
        </w:rPr>
      </w:pPr>
    </w:p>
    <w:p w:rsidR="001454F5" w:rsidRPr="00F124B2" w:rsidRDefault="001454F5" w:rsidP="001454F5">
      <w:pPr>
        <w:spacing w:after="0" w:line="240" w:lineRule="auto"/>
        <w:rPr>
          <w:rFonts w:ascii="Calibri" w:eastAsia="Calibri" w:hAnsi="Calibri" w:cs="Calibri"/>
          <w:sz w:val="20"/>
          <w:szCs w:val="20"/>
          <w:lang w:eastAsia="fr-FR"/>
        </w:rPr>
      </w:pPr>
      <w:r w:rsidRPr="00F124B2">
        <w:rPr>
          <w:rFonts w:ascii="Calibri" w:eastAsia="Calibri" w:hAnsi="Calibri" w:cs="Calibri"/>
          <w:sz w:val="20"/>
          <w:szCs w:val="20"/>
          <w:lang w:eastAsia="fr-FR"/>
        </w:rPr>
        <w:t>Catherine de Gavre</w:t>
      </w:r>
    </w:p>
    <w:p w:rsidR="001454F5" w:rsidRPr="00F124B2" w:rsidRDefault="001454F5" w:rsidP="001454F5">
      <w:pPr>
        <w:spacing w:after="0" w:line="240" w:lineRule="auto"/>
        <w:rPr>
          <w:rFonts w:ascii="Calibri" w:eastAsia="Calibri" w:hAnsi="Calibri" w:cs="Calibri"/>
          <w:sz w:val="20"/>
          <w:szCs w:val="20"/>
          <w:lang w:eastAsia="fr-FR"/>
        </w:rPr>
      </w:pPr>
      <w:r w:rsidRPr="00F124B2">
        <w:rPr>
          <w:rFonts w:ascii="Calibri" w:eastAsia="Calibri" w:hAnsi="Calibri" w:cs="Calibri"/>
          <w:sz w:val="20"/>
          <w:szCs w:val="20"/>
          <w:lang w:eastAsia="fr-FR"/>
        </w:rPr>
        <w:t>Directeur de la Publication ANAE</w:t>
      </w:r>
    </w:p>
    <w:p w:rsidR="001454F5" w:rsidRPr="00F124B2" w:rsidRDefault="001454F5" w:rsidP="001454F5">
      <w:pPr>
        <w:spacing w:after="0" w:line="240" w:lineRule="auto"/>
        <w:rPr>
          <w:rFonts w:ascii="Calibri" w:eastAsia="Calibri" w:hAnsi="Calibri" w:cs="Calibri"/>
          <w:sz w:val="20"/>
          <w:szCs w:val="20"/>
          <w:lang w:eastAsia="fr-FR"/>
        </w:rPr>
      </w:pPr>
      <w:r w:rsidRPr="00F124B2">
        <w:rPr>
          <w:rFonts w:ascii="Calibri" w:eastAsia="Calibri" w:hAnsi="Calibri" w:cs="Calibri"/>
          <w:sz w:val="20"/>
          <w:szCs w:val="20"/>
          <w:lang w:eastAsia="fr-FR"/>
        </w:rPr>
        <w:t>Approche Neuropsychologique des Apprentissages chez l’Enfant</w:t>
      </w:r>
    </w:p>
    <w:p w:rsidR="001454F5" w:rsidRPr="00F124B2" w:rsidRDefault="00C52B9F" w:rsidP="001454F5">
      <w:pPr>
        <w:spacing w:after="0" w:line="240" w:lineRule="auto"/>
        <w:rPr>
          <w:rFonts w:ascii="Calibri" w:eastAsia="Calibri" w:hAnsi="Calibri" w:cs="Calibri"/>
          <w:color w:val="0070C0"/>
          <w:sz w:val="20"/>
          <w:szCs w:val="20"/>
          <w:lang w:eastAsia="fr-FR"/>
        </w:rPr>
      </w:pPr>
      <w:hyperlink r:id="rId11" w:history="1">
        <w:r w:rsidR="001454F5" w:rsidRPr="00F124B2">
          <w:rPr>
            <w:rFonts w:ascii="Calibri" w:eastAsia="Calibri" w:hAnsi="Calibri" w:cs="Calibri"/>
            <w:color w:val="0070C0"/>
            <w:sz w:val="20"/>
            <w:szCs w:val="20"/>
            <w:u w:val="single"/>
            <w:lang w:eastAsia="fr-FR"/>
          </w:rPr>
          <w:t>anae@wanadoo.fr</w:t>
        </w:r>
      </w:hyperlink>
    </w:p>
    <w:p w:rsidR="001454F5" w:rsidRPr="00F124B2" w:rsidRDefault="00C52B9F" w:rsidP="001454F5">
      <w:pPr>
        <w:spacing w:after="0" w:line="240" w:lineRule="auto"/>
        <w:rPr>
          <w:rFonts w:ascii="Calibri" w:eastAsia="Calibri" w:hAnsi="Calibri" w:cs="Calibri"/>
          <w:color w:val="0070C0"/>
          <w:sz w:val="20"/>
          <w:szCs w:val="20"/>
          <w:lang w:eastAsia="fr-FR"/>
        </w:rPr>
      </w:pPr>
      <w:hyperlink r:id="rId12" w:history="1">
        <w:r w:rsidR="001454F5" w:rsidRPr="00F124B2">
          <w:rPr>
            <w:rFonts w:ascii="Calibri" w:eastAsia="Calibri" w:hAnsi="Calibri" w:cs="Calibri"/>
            <w:color w:val="0070C0"/>
            <w:sz w:val="20"/>
            <w:szCs w:val="20"/>
            <w:u w:val="single"/>
            <w:lang w:eastAsia="fr-FR"/>
          </w:rPr>
          <w:t>www.anae-revue.com</w:t>
        </w:r>
      </w:hyperlink>
    </w:p>
    <w:p w:rsidR="001454F5" w:rsidRPr="00F124B2" w:rsidRDefault="00C52B9F" w:rsidP="001454F5">
      <w:pPr>
        <w:spacing w:after="0" w:line="240" w:lineRule="auto"/>
        <w:rPr>
          <w:rFonts w:ascii="Calibri" w:eastAsia="Calibri" w:hAnsi="Calibri" w:cs="Calibri"/>
          <w:color w:val="0070C0"/>
          <w:sz w:val="20"/>
          <w:szCs w:val="20"/>
          <w:lang w:eastAsia="fr-FR"/>
        </w:rPr>
      </w:pPr>
      <w:hyperlink r:id="rId13" w:history="1">
        <w:r w:rsidR="001454F5" w:rsidRPr="00F124B2">
          <w:rPr>
            <w:rFonts w:ascii="Calibri" w:eastAsia="Calibri" w:hAnsi="Calibri" w:cs="Calibri"/>
            <w:color w:val="0070C0"/>
            <w:sz w:val="20"/>
            <w:szCs w:val="20"/>
            <w:u w:val="single"/>
            <w:lang w:eastAsia="fr-FR"/>
          </w:rPr>
          <w:t>Les Editions du Petit ANAE</w:t>
        </w:r>
      </w:hyperlink>
    </w:p>
    <w:p w:rsidR="001454F5" w:rsidRPr="00F124B2" w:rsidRDefault="001454F5" w:rsidP="001454F5">
      <w:pPr>
        <w:spacing w:after="0" w:line="240" w:lineRule="auto"/>
        <w:rPr>
          <w:rFonts w:ascii="Calibri" w:eastAsia="Calibri" w:hAnsi="Calibri" w:cs="Calibri"/>
          <w:sz w:val="20"/>
          <w:szCs w:val="20"/>
          <w:lang w:eastAsia="fr-FR"/>
        </w:rPr>
      </w:pPr>
    </w:p>
    <w:p w:rsidR="001454F5" w:rsidRPr="00F124B2" w:rsidRDefault="001454F5" w:rsidP="001454F5">
      <w:pPr>
        <w:spacing w:after="0" w:line="240" w:lineRule="auto"/>
        <w:rPr>
          <w:rFonts w:ascii="Calibri" w:eastAsia="Calibri" w:hAnsi="Calibri" w:cs="Calibri"/>
          <w:b/>
          <w:bCs/>
          <w:sz w:val="20"/>
          <w:szCs w:val="20"/>
          <w:lang w:eastAsia="fr-FR"/>
        </w:rPr>
      </w:pPr>
      <w:r w:rsidRPr="00F124B2">
        <w:rPr>
          <w:rFonts w:ascii="Calibri" w:eastAsia="Calibri" w:hAnsi="Calibri" w:cs="Calibri"/>
          <w:b/>
          <w:bCs/>
          <w:sz w:val="20"/>
          <w:szCs w:val="20"/>
          <w:lang w:eastAsia="fr-FR"/>
        </w:rPr>
        <w:t>Nouveautés 2018</w:t>
      </w:r>
    </w:p>
    <w:p w:rsidR="001454F5" w:rsidRPr="00F124B2" w:rsidRDefault="00C52B9F" w:rsidP="001454F5">
      <w:pPr>
        <w:spacing w:after="0" w:line="240" w:lineRule="auto"/>
        <w:rPr>
          <w:rFonts w:ascii="Calibri" w:eastAsia="Calibri" w:hAnsi="Calibri" w:cs="Calibri"/>
          <w:color w:val="0070C0"/>
          <w:sz w:val="20"/>
          <w:szCs w:val="20"/>
          <w:lang w:eastAsia="fr-FR"/>
        </w:rPr>
      </w:pPr>
      <w:hyperlink r:id="rId14" w:history="1">
        <w:r w:rsidR="001454F5" w:rsidRPr="00F124B2">
          <w:rPr>
            <w:rFonts w:ascii="Calibri" w:eastAsia="Calibri" w:hAnsi="Calibri" w:cs="Calibri"/>
            <w:color w:val="0070C0"/>
            <w:sz w:val="20"/>
            <w:szCs w:val="20"/>
            <w:u w:val="single"/>
            <w:lang w:eastAsia="fr-FR"/>
          </w:rPr>
          <w:t>L'Editorial d'ANAE</w:t>
        </w:r>
      </w:hyperlink>
    </w:p>
    <w:p w:rsidR="001454F5" w:rsidRPr="00F124B2" w:rsidRDefault="00C52B9F" w:rsidP="001454F5">
      <w:pPr>
        <w:spacing w:after="0" w:line="240" w:lineRule="auto"/>
        <w:rPr>
          <w:rFonts w:ascii="Calibri" w:eastAsia="Calibri" w:hAnsi="Calibri" w:cs="Calibri"/>
          <w:color w:val="0070C0"/>
          <w:sz w:val="20"/>
          <w:szCs w:val="20"/>
          <w:lang w:eastAsia="fr-FR"/>
        </w:rPr>
      </w:pPr>
      <w:hyperlink r:id="rId15" w:history="1">
        <w:r w:rsidR="001454F5" w:rsidRPr="00F124B2">
          <w:rPr>
            <w:rFonts w:ascii="Calibri" w:eastAsia="Calibri" w:hAnsi="Calibri" w:cs="Calibri"/>
            <w:color w:val="0070C0"/>
            <w:sz w:val="20"/>
            <w:szCs w:val="20"/>
            <w:u w:val="single"/>
            <w:lang w:eastAsia="fr-FR"/>
          </w:rPr>
          <w:t>ANAE en accès libre</w:t>
        </w:r>
      </w:hyperlink>
    </w:p>
    <w:p w:rsidR="001454F5" w:rsidRPr="00F124B2" w:rsidRDefault="001454F5" w:rsidP="001454F5">
      <w:pPr>
        <w:spacing w:after="0" w:line="240" w:lineRule="auto"/>
        <w:rPr>
          <w:rFonts w:ascii="Calibri" w:eastAsia="Calibri" w:hAnsi="Calibri" w:cs="Calibri"/>
          <w:color w:val="0070C0"/>
          <w:sz w:val="8"/>
          <w:szCs w:val="8"/>
          <w:lang w:eastAsia="fr-FR"/>
        </w:rPr>
      </w:pPr>
    </w:p>
    <w:p w:rsidR="001454F5" w:rsidRPr="00F124B2" w:rsidRDefault="001454F5" w:rsidP="001454F5">
      <w:pPr>
        <w:spacing w:after="0" w:line="240" w:lineRule="auto"/>
        <w:rPr>
          <w:rFonts w:ascii="Calibri" w:eastAsia="Calibri" w:hAnsi="Calibri" w:cs="Calibri"/>
          <w:sz w:val="20"/>
          <w:szCs w:val="20"/>
          <w:lang w:eastAsia="fr-FR"/>
        </w:rPr>
      </w:pPr>
    </w:p>
    <w:p w:rsidR="001454F5" w:rsidRPr="00F124B2" w:rsidRDefault="00C52B9F" w:rsidP="001454F5">
      <w:pPr>
        <w:numPr>
          <w:ilvl w:val="0"/>
          <w:numId w:val="1"/>
        </w:numPr>
        <w:spacing w:after="0" w:line="240" w:lineRule="auto"/>
        <w:rPr>
          <w:rFonts w:ascii="Calibri" w:eastAsia="Calibri" w:hAnsi="Calibri" w:cs="Calibri"/>
          <w:sz w:val="20"/>
          <w:szCs w:val="20"/>
          <w:lang w:eastAsia="fr-FR"/>
        </w:rPr>
      </w:pPr>
      <w:hyperlink r:id="rId16" w:history="1">
        <w:r w:rsidR="001454F5" w:rsidRPr="00F124B2">
          <w:rPr>
            <w:rFonts w:ascii="Calibri" w:eastAsia="Calibri" w:hAnsi="Calibri" w:cs="Calibri"/>
            <w:color w:val="0000FF"/>
            <w:sz w:val="20"/>
            <w:szCs w:val="20"/>
            <w:u w:val="single"/>
            <w:lang w:eastAsia="fr-FR"/>
          </w:rPr>
          <w:t>http://www.linkedin.com/in/catherinedegavre</w:t>
        </w:r>
      </w:hyperlink>
    </w:p>
    <w:p w:rsidR="001454F5" w:rsidRPr="00F124B2" w:rsidRDefault="00C52B9F" w:rsidP="001454F5">
      <w:pPr>
        <w:numPr>
          <w:ilvl w:val="0"/>
          <w:numId w:val="2"/>
        </w:numPr>
        <w:spacing w:after="0" w:line="240" w:lineRule="auto"/>
        <w:rPr>
          <w:rFonts w:ascii="Calibri" w:eastAsia="Calibri" w:hAnsi="Calibri" w:cs="Calibri"/>
          <w:sz w:val="20"/>
          <w:szCs w:val="20"/>
          <w:lang w:eastAsia="fr-FR"/>
        </w:rPr>
      </w:pPr>
      <w:hyperlink r:id="rId17" w:history="1">
        <w:r w:rsidR="001454F5" w:rsidRPr="00F124B2">
          <w:rPr>
            <w:rFonts w:ascii="Calibri" w:eastAsia="Calibri" w:hAnsi="Calibri" w:cs="Calibri"/>
            <w:color w:val="0000FF"/>
            <w:sz w:val="20"/>
            <w:szCs w:val="20"/>
            <w:u w:val="single"/>
            <w:lang w:eastAsia="fr-FR"/>
          </w:rPr>
          <w:t>https://twitter.com/anaerevue</w:t>
        </w:r>
      </w:hyperlink>
    </w:p>
    <w:p w:rsidR="001454F5" w:rsidRPr="00F124B2" w:rsidRDefault="001454F5" w:rsidP="001454F5">
      <w:pPr>
        <w:spacing w:after="0" w:line="240" w:lineRule="auto"/>
        <w:ind w:left="360"/>
        <w:rPr>
          <w:rFonts w:ascii="Calibri" w:eastAsia="Calibri" w:hAnsi="Calibri" w:cs="Calibri"/>
          <w:sz w:val="20"/>
          <w:szCs w:val="20"/>
          <w:lang w:eastAsia="fr-FR"/>
        </w:rPr>
      </w:pPr>
    </w:p>
    <w:p w:rsidR="001454F5" w:rsidRPr="00F124B2" w:rsidRDefault="00C52B9F" w:rsidP="001454F5">
      <w:pPr>
        <w:spacing w:after="0" w:line="240" w:lineRule="auto"/>
        <w:rPr>
          <w:rFonts w:ascii="Times New Roman" w:eastAsia="Calibri" w:hAnsi="Times New Roman" w:cs="Times New Roman"/>
          <w:sz w:val="24"/>
          <w:szCs w:val="24"/>
        </w:rPr>
      </w:pPr>
      <w:hyperlink r:id="rId18" w:history="1">
        <w:r w:rsidR="001454F5" w:rsidRPr="00F124B2">
          <w:rPr>
            <w:rFonts w:ascii="Calibri" w:eastAsia="Calibri" w:hAnsi="Calibri" w:cs="Calibri"/>
            <w:color w:val="0563C1"/>
            <w:sz w:val="20"/>
            <w:szCs w:val="20"/>
            <w:u w:val="single"/>
          </w:rPr>
          <w:t>Politique de confidentialité des données</w:t>
        </w:r>
      </w:hyperlink>
    </w:p>
    <w:p w:rsidR="000B26E6" w:rsidRPr="00F124B2" w:rsidRDefault="000B26E6">
      <w:pPr>
        <w:rPr>
          <w:sz w:val="20"/>
        </w:rPr>
      </w:pPr>
    </w:p>
    <w:sectPr w:rsidR="000B26E6" w:rsidRPr="00F124B2" w:rsidSect="00B63432">
      <w:pgSz w:w="11906" w:h="16838"/>
      <w:pgMar w:top="567"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Gothic-Bold">
    <w:altName w:val="Century Gothic"/>
    <w:charset w:val="00"/>
    <w:family w:val="auto"/>
    <w:pitch w:val="variable"/>
    <w:sig w:usb0="00000287" w:usb1="00000000" w:usb2="00000000" w:usb3="00000000" w:csb0="0000009F" w:csb1="00000000"/>
  </w:font>
  <w:font w:name="Times-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pt;height:6pt" o:bullet="t">
        <v:imagedata r:id="rId1" o:title="clip_image001"/>
      </v:shape>
    </w:pict>
  </w:numPicBullet>
  <w:numPicBullet w:numPicBulletId="1">
    <w:pict>
      <v:shape id="_x0000_i1057" type="#_x0000_t75" style="width:6.5pt;height:6.5pt" o:bullet="t">
        <v:imagedata r:id="rId2" o:title="clip_image002"/>
      </v:shape>
    </w:pict>
  </w:numPicBullet>
  <w:abstractNum w:abstractNumId="0" w15:restartNumberingAfterBreak="0">
    <w:nsid w:val="19F16399"/>
    <w:multiLevelType w:val="hybridMultilevel"/>
    <w:tmpl w:val="48902314"/>
    <w:lvl w:ilvl="0" w:tplc="1AC8E17E">
      <w:start w:val="1"/>
      <w:numFmt w:val="bullet"/>
      <w:lvlText w:val=""/>
      <w:lvlPicBulletId w:val="0"/>
      <w:lvlJc w:val="left"/>
      <w:pPr>
        <w:tabs>
          <w:tab w:val="num" w:pos="720"/>
        </w:tabs>
        <w:ind w:left="720" w:hanging="360"/>
      </w:pPr>
      <w:rPr>
        <w:rFonts w:ascii="Symbol" w:hAnsi="Symbol" w:hint="default"/>
      </w:rPr>
    </w:lvl>
    <w:lvl w:ilvl="1" w:tplc="2C980FC0">
      <w:start w:val="1"/>
      <w:numFmt w:val="bullet"/>
      <w:lvlText w:val=""/>
      <w:lvlJc w:val="left"/>
      <w:pPr>
        <w:tabs>
          <w:tab w:val="num" w:pos="1440"/>
        </w:tabs>
        <w:ind w:left="1440" w:hanging="360"/>
      </w:pPr>
      <w:rPr>
        <w:rFonts w:ascii="Symbol" w:hAnsi="Symbol" w:hint="default"/>
      </w:rPr>
    </w:lvl>
    <w:lvl w:ilvl="2" w:tplc="95CEA1A4">
      <w:start w:val="1"/>
      <w:numFmt w:val="bullet"/>
      <w:lvlText w:val=""/>
      <w:lvlJc w:val="left"/>
      <w:pPr>
        <w:tabs>
          <w:tab w:val="num" w:pos="2160"/>
        </w:tabs>
        <w:ind w:left="2160" w:hanging="360"/>
      </w:pPr>
      <w:rPr>
        <w:rFonts w:ascii="Symbol" w:hAnsi="Symbol" w:hint="default"/>
      </w:rPr>
    </w:lvl>
    <w:lvl w:ilvl="3" w:tplc="9392CF96">
      <w:start w:val="1"/>
      <w:numFmt w:val="bullet"/>
      <w:lvlText w:val=""/>
      <w:lvlJc w:val="left"/>
      <w:pPr>
        <w:tabs>
          <w:tab w:val="num" w:pos="2880"/>
        </w:tabs>
        <w:ind w:left="2880" w:hanging="360"/>
      </w:pPr>
      <w:rPr>
        <w:rFonts w:ascii="Symbol" w:hAnsi="Symbol" w:hint="default"/>
      </w:rPr>
    </w:lvl>
    <w:lvl w:ilvl="4" w:tplc="29621A9E">
      <w:start w:val="1"/>
      <w:numFmt w:val="bullet"/>
      <w:lvlText w:val=""/>
      <w:lvlJc w:val="left"/>
      <w:pPr>
        <w:tabs>
          <w:tab w:val="num" w:pos="3600"/>
        </w:tabs>
        <w:ind w:left="3600" w:hanging="360"/>
      </w:pPr>
      <w:rPr>
        <w:rFonts w:ascii="Symbol" w:hAnsi="Symbol" w:hint="default"/>
      </w:rPr>
    </w:lvl>
    <w:lvl w:ilvl="5" w:tplc="855EC9BC">
      <w:start w:val="1"/>
      <w:numFmt w:val="bullet"/>
      <w:lvlText w:val=""/>
      <w:lvlJc w:val="left"/>
      <w:pPr>
        <w:tabs>
          <w:tab w:val="num" w:pos="4320"/>
        </w:tabs>
        <w:ind w:left="4320" w:hanging="360"/>
      </w:pPr>
      <w:rPr>
        <w:rFonts w:ascii="Symbol" w:hAnsi="Symbol" w:hint="default"/>
      </w:rPr>
    </w:lvl>
    <w:lvl w:ilvl="6" w:tplc="CC2EAC0E">
      <w:start w:val="1"/>
      <w:numFmt w:val="bullet"/>
      <w:lvlText w:val=""/>
      <w:lvlJc w:val="left"/>
      <w:pPr>
        <w:tabs>
          <w:tab w:val="num" w:pos="5040"/>
        </w:tabs>
        <w:ind w:left="5040" w:hanging="360"/>
      </w:pPr>
      <w:rPr>
        <w:rFonts w:ascii="Symbol" w:hAnsi="Symbol" w:hint="default"/>
      </w:rPr>
    </w:lvl>
    <w:lvl w:ilvl="7" w:tplc="2BEAF38C">
      <w:start w:val="1"/>
      <w:numFmt w:val="bullet"/>
      <w:lvlText w:val=""/>
      <w:lvlJc w:val="left"/>
      <w:pPr>
        <w:tabs>
          <w:tab w:val="num" w:pos="5760"/>
        </w:tabs>
        <w:ind w:left="5760" w:hanging="360"/>
      </w:pPr>
      <w:rPr>
        <w:rFonts w:ascii="Symbol" w:hAnsi="Symbol" w:hint="default"/>
      </w:rPr>
    </w:lvl>
    <w:lvl w:ilvl="8" w:tplc="CF383BC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D245FE4"/>
    <w:multiLevelType w:val="hybridMultilevel"/>
    <w:tmpl w:val="F3F0E1AC"/>
    <w:lvl w:ilvl="0" w:tplc="02027C00">
      <w:start w:val="1"/>
      <w:numFmt w:val="bullet"/>
      <w:lvlText w:val=""/>
      <w:lvlPicBulletId w:val="1"/>
      <w:lvlJc w:val="left"/>
      <w:pPr>
        <w:tabs>
          <w:tab w:val="num" w:pos="720"/>
        </w:tabs>
        <w:ind w:left="720" w:hanging="360"/>
      </w:pPr>
      <w:rPr>
        <w:rFonts w:ascii="Symbol" w:hAnsi="Symbol" w:hint="default"/>
      </w:rPr>
    </w:lvl>
    <w:lvl w:ilvl="1" w:tplc="9F56586A">
      <w:start w:val="1"/>
      <w:numFmt w:val="bullet"/>
      <w:lvlText w:val=""/>
      <w:lvlJc w:val="left"/>
      <w:pPr>
        <w:tabs>
          <w:tab w:val="num" w:pos="1440"/>
        </w:tabs>
        <w:ind w:left="1440" w:hanging="360"/>
      </w:pPr>
      <w:rPr>
        <w:rFonts w:ascii="Symbol" w:hAnsi="Symbol" w:hint="default"/>
      </w:rPr>
    </w:lvl>
    <w:lvl w:ilvl="2" w:tplc="5A86267A">
      <w:start w:val="1"/>
      <w:numFmt w:val="bullet"/>
      <w:lvlText w:val=""/>
      <w:lvlJc w:val="left"/>
      <w:pPr>
        <w:tabs>
          <w:tab w:val="num" w:pos="2160"/>
        </w:tabs>
        <w:ind w:left="2160" w:hanging="360"/>
      </w:pPr>
      <w:rPr>
        <w:rFonts w:ascii="Symbol" w:hAnsi="Symbol" w:hint="default"/>
      </w:rPr>
    </w:lvl>
    <w:lvl w:ilvl="3" w:tplc="62249DAE">
      <w:start w:val="1"/>
      <w:numFmt w:val="bullet"/>
      <w:lvlText w:val=""/>
      <w:lvlJc w:val="left"/>
      <w:pPr>
        <w:tabs>
          <w:tab w:val="num" w:pos="2880"/>
        </w:tabs>
        <w:ind w:left="2880" w:hanging="360"/>
      </w:pPr>
      <w:rPr>
        <w:rFonts w:ascii="Symbol" w:hAnsi="Symbol" w:hint="default"/>
      </w:rPr>
    </w:lvl>
    <w:lvl w:ilvl="4" w:tplc="9EA4AAFC">
      <w:start w:val="1"/>
      <w:numFmt w:val="bullet"/>
      <w:lvlText w:val=""/>
      <w:lvlJc w:val="left"/>
      <w:pPr>
        <w:tabs>
          <w:tab w:val="num" w:pos="3600"/>
        </w:tabs>
        <w:ind w:left="3600" w:hanging="360"/>
      </w:pPr>
      <w:rPr>
        <w:rFonts w:ascii="Symbol" w:hAnsi="Symbol" w:hint="default"/>
      </w:rPr>
    </w:lvl>
    <w:lvl w:ilvl="5" w:tplc="37868476">
      <w:start w:val="1"/>
      <w:numFmt w:val="bullet"/>
      <w:lvlText w:val=""/>
      <w:lvlJc w:val="left"/>
      <w:pPr>
        <w:tabs>
          <w:tab w:val="num" w:pos="4320"/>
        </w:tabs>
        <w:ind w:left="4320" w:hanging="360"/>
      </w:pPr>
      <w:rPr>
        <w:rFonts w:ascii="Symbol" w:hAnsi="Symbol" w:hint="default"/>
      </w:rPr>
    </w:lvl>
    <w:lvl w:ilvl="6" w:tplc="3E50F658">
      <w:start w:val="1"/>
      <w:numFmt w:val="bullet"/>
      <w:lvlText w:val=""/>
      <w:lvlJc w:val="left"/>
      <w:pPr>
        <w:tabs>
          <w:tab w:val="num" w:pos="5040"/>
        </w:tabs>
        <w:ind w:left="5040" w:hanging="360"/>
      </w:pPr>
      <w:rPr>
        <w:rFonts w:ascii="Symbol" w:hAnsi="Symbol" w:hint="default"/>
      </w:rPr>
    </w:lvl>
    <w:lvl w:ilvl="7" w:tplc="53EE52EC">
      <w:start w:val="1"/>
      <w:numFmt w:val="bullet"/>
      <w:lvlText w:val=""/>
      <w:lvlJc w:val="left"/>
      <w:pPr>
        <w:tabs>
          <w:tab w:val="num" w:pos="5760"/>
        </w:tabs>
        <w:ind w:left="5760" w:hanging="360"/>
      </w:pPr>
      <w:rPr>
        <w:rFonts w:ascii="Symbol" w:hAnsi="Symbol" w:hint="default"/>
      </w:rPr>
    </w:lvl>
    <w:lvl w:ilvl="8" w:tplc="7F988BEA">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F5"/>
    <w:rsid w:val="000545BB"/>
    <w:rsid w:val="000B26E6"/>
    <w:rsid w:val="000E2534"/>
    <w:rsid w:val="001454F5"/>
    <w:rsid w:val="001A4AA6"/>
    <w:rsid w:val="001B3619"/>
    <w:rsid w:val="001F46BA"/>
    <w:rsid w:val="002015AC"/>
    <w:rsid w:val="00263E3D"/>
    <w:rsid w:val="002B0819"/>
    <w:rsid w:val="0032175F"/>
    <w:rsid w:val="00363752"/>
    <w:rsid w:val="0043138E"/>
    <w:rsid w:val="005E5F33"/>
    <w:rsid w:val="00662D22"/>
    <w:rsid w:val="006E0064"/>
    <w:rsid w:val="00787FCF"/>
    <w:rsid w:val="00940068"/>
    <w:rsid w:val="00A37DB9"/>
    <w:rsid w:val="00A70AB4"/>
    <w:rsid w:val="00B16B5B"/>
    <w:rsid w:val="00B63432"/>
    <w:rsid w:val="00BA5633"/>
    <w:rsid w:val="00BC30D7"/>
    <w:rsid w:val="00C52B9F"/>
    <w:rsid w:val="00C71BEF"/>
    <w:rsid w:val="00D354A1"/>
    <w:rsid w:val="00DB59EC"/>
    <w:rsid w:val="00E1367E"/>
    <w:rsid w:val="00F124B2"/>
    <w:rsid w:val="00F60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9385"/>
  <w15:chartTrackingRefBased/>
  <w15:docId w15:val="{184BCCBF-2094-4846-BD2C-A4AAFE1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534"/>
    <w:pPr>
      <w:ind w:left="720"/>
      <w:contextualSpacing/>
    </w:pPr>
  </w:style>
  <w:style w:type="character" w:styleId="Lienhypertexte">
    <w:name w:val="Hyperlink"/>
    <w:basedOn w:val="Policepardfaut"/>
    <w:uiPriority w:val="99"/>
    <w:unhideWhenUsed/>
    <w:rsid w:val="00F124B2"/>
    <w:rPr>
      <w:color w:val="0563C1" w:themeColor="hyperlink"/>
      <w:u w:val="single"/>
    </w:rPr>
  </w:style>
  <w:style w:type="paragraph" w:customStyle="1" w:styleId="Styledeparagraphe1">
    <w:name w:val="Style de paragraphe 1"/>
    <w:basedOn w:val="Normal"/>
    <w:uiPriority w:val="99"/>
    <w:rsid w:val="0032175F"/>
    <w:pPr>
      <w:widowControl w:val="0"/>
      <w:pBdr>
        <w:bottom w:val="dotted" w:sz="12" w:space="2" w:color="D80000"/>
      </w:pBdr>
      <w:tabs>
        <w:tab w:val="right" w:pos="8220"/>
      </w:tabs>
      <w:autoSpaceDE w:val="0"/>
      <w:autoSpaceDN w:val="0"/>
      <w:adjustRightInd w:val="0"/>
      <w:spacing w:before="113" w:after="113" w:line="220" w:lineRule="atLeast"/>
      <w:jc w:val="center"/>
    </w:pPr>
    <w:rPr>
      <w:rFonts w:ascii="CenturyGothic-Bold" w:eastAsia="Calibri" w:hAnsi="CenturyGothic-Bold" w:cs="CenturyGothic-Bold"/>
      <w:b/>
      <w:bCs/>
      <w:caps/>
      <w:color w:val="D8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99602">
      <w:bodyDiv w:val="1"/>
      <w:marLeft w:val="0"/>
      <w:marRight w:val="0"/>
      <w:marTop w:val="0"/>
      <w:marBottom w:val="0"/>
      <w:divBdr>
        <w:top w:val="none" w:sz="0" w:space="0" w:color="auto"/>
        <w:left w:val="none" w:sz="0" w:space="0" w:color="auto"/>
        <w:bottom w:val="none" w:sz="0" w:space="0" w:color="auto"/>
        <w:right w:val="none" w:sz="0" w:space="0" w:color="auto"/>
      </w:divBdr>
    </w:div>
    <w:div w:id="11932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e-revue.com/la-documentation-scientifique-tous-les-n-disponibles/" TargetMode="External"/><Relationship Id="rId13" Type="http://schemas.openxmlformats.org/officeDocument/2006/relationships/hyperlink" Target="http://www.anae-revue.com/les-editions-du-petit-anae/" TargetMode="External"/><Relationship Id="rId18" Type="http://schemas.openxmlformats.org/officeDocument/2006/relationships/hyperlink" Target="https://www.dropbox.com/s/bd00ic1ad8ymlrl/politique%20de%20confidentialit%C3%A9%20ANAE%20-%20Les%20Editions%20du%20Petit%20ANAE.docx?dl=0" TargetMode="External"/><Relationship Id="rId3" Type="http://schemas.openxmlformats.org/officeDocument/2006/relationships/settings" Target="settings.xml"/><Relationship Id="rId7" Type="http://schemas.openxmlformats.org/officeDocument/2006/relationships/hyperlink" Target="https://www.anae-revue.com/abonnement-2020/" TargetMode="External"/><Relationship Id="rId12" Type="http://schemas.openxmlformats.org/officeDocument/2006/relationships/hyperlink" Target="http://www.anae-revue.com/" TargetMode="External"/><Relationship Id="rId17" Type="http://schemas.openxmlformats.org/officeDocument/2006/relationships/hyperlink" Target="https://twitter.com/anaerevue" TargetMode="External"/><Relationship Id="rId2" Type="http://schemas.openxmlformats.org/officeDocument/2006/relationships/styles" Target="styles.xml"/><Relationship Id="rId16" Type="http://schemas.openxmlformats.org/officeDocument/2006/relationships/hyperlink" Target="http://www.linkedin.com/in/catherinedegav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nae-revue.com/la-documentation-scientifique-tous-les-n-disponibles/" TargetMode="External"/><Relationship Id="rId11" Type="http://schemas.openxmlformats.org/officeDocument/2006/relationships/hyperlink" Target="mailto:anae@wanadoo.fr" TargetMode="External"/><Relationship Id="rId5" Type="http://schemas.openxmlformats.org/officeDocument/2006/relationships/image" Target="media/image3.png"/><Relationship Id="rId15" Type="http://schemas.openxmlformats.org/officeDocument/2006/relationships/hyperlink" Target="https://www.anae-revue.com/anae-en-acc&#232;s-libre/" TargetMode="External"/><Relationship Id="rId10" Type="http://schemas.openxmlformats.org/officeDocument/2006/relationships/hyperlink" Target="https://www.anae-revue.com/abonnement-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nae-revue.com/abonnement-2020/" TargetMode="External"/><Relationship Id="rId14" Type="http://schemas.openxmlformats.org/officeDocument/2006/relationships/hyperlink" Target="https://www.anae-revue.com/anae-en-acc&#232;s-libre/l-&#233;ditorial-d-anae-en-acc&#232;s-libr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1562</Words>
  <Characters>8597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Catherine DE GAVRE</cp:lastModifiedBy>
  <cp:revision>6</cp:revision>
  <dcterms:created xsi:type="dcterms:W3CDTF">2020-06-18T05:33:00Z</dcterms:created>
  <dcterms:modified xsi:type="dcterms:W3CDTF">2020-06-18T08:00:00Z</dcterms:modified>
</cp:coreProperties>
</file>