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353" w:rsidRDefault="008D3DB1" w:rsidP="00111353">
      <w:pPr>
        <w:shd w:val="clear" w:color="auto" w:fill="FFFFFF"/>
        <w:spacing w:after="0" w:line="240" w:lineRule="auto"/>
        <w:jc w:val="center"/>
        <w:rPr>
          <w:rFonts w:ascii="Times New Roman" w:eastAsia="Times New Roman" w:hAnsi="Times New Roman" w:cs="Times New Roman"/>
          <w:b/>
          <w:bCs/>
          <w:color w:val="2E2627"/>
          <w:sz w:val="28"/>
          <w:szCs w:val="28"/>
          <w:lang w:eastAsia="fr-FR"/>
        </w:rPr>
      </w:pPr>
      <w:r>
        <w:rPr>
          <w:rFonts w:ascii="Times New Roman" w:eastAsia="Times New Roman" w:hAnsi="Times New Roman" w:cs="Times New Roman"/>
          <w:b/>
          <w:bCs/>
          <w:color w:val="2E2627"/>
          <w:sz w:val="28"/>
          <w:szCs w:val="28"/>
          <w:lang w:eastAsia="fr-FR"/>
        </w:rPr>
        <w:t xml:space="preserve">ANAE N° 114 </w:t>
      </w:r>
    </w:p>
    <w:p w:rsidR="002670D8" w:rsidRDefault="008D3DB1" w:rsidP="00111353">
      <w:pPr>
        <w:shd w:val="clear" w:color="auto" w:fill="FFFFFF"/>
        <w:spacing w:after="0" w:line="240" w:lineRule="auto"/>
        <w:jc w:val="center"/>
        <w:rPr>
          <w:rFonts w:ascii="Times New Roman" w:eastAsia="Times New Roman" w:hAnsi="Times New Roman" w:cs="Times New Roman"/>
          <w:b/>
          <w:bCs/>
          <w:color w:val="2E2627"/>
          <w:sz w:val="28"/>
          <w:szCs w:val="28"/>
          <w:lang w:eastAsia="fr-FR"/>
        </w:rPr>
      </w:pPr>
      <w:r>
        <w:rPr>
          <w:rFonts w:ascii="Times New Roman" w:eastAsia="Times New Roman" w:hAnsi="Times New Roman" w:cs="Times New Roman"/>
          <w:b/>
          <w:bCs/>
          <w:color w:val="2E2627"/>
          <w:sz w:val="28"/>
          <w:szCs w:val="28"/>
          <w:lang w:eastAsia="fr-FR"/>
        </w:rPr>
        <w:t>Vol 23, tome IV</w:t>
      </w:r>
      <w:bookmarkStart w:id="0" w:name="_GoBack"/>
      <w:bookmarkEnd w:id="0"/>
    </w:p>
    <w:p w:rsidR="00111353" w:rsidRPr="00111353" w:rsidRDefault="00111353" w:rsidP="00111353">
      <w:pPr>
        <w:shd w:val="clear" w:color="auto" w:fill="FFFFFF"/>
        <w:spacing w:after="0" w:line="240" w:lineRule="auto"/>
        <w:jc w:val="center"/>
        <w:rPr>
          <w:rFonts w:ascii="Arial" w:eastAsia="Times New Roman" w:hAnsi="Arial" w:cs="Arial"/>
          <w:color w:val="2E2627"/>
          <w:sz w:val="18"/>
          <w:szCs w:val="18"/>
          <w:lang w:eastAsia="fr-FR"/>
        </w:rPr>
      </w:pPr>
    </w:p>
    <w:p w:rsidR="00111353" w:rsidRPr="00111353" w:rsidRDefault="00111353" w:rsidP="00111353">
      <w:pPr>
        <w:shd w:val="clear" w:color="auto" w:fill="FFFFFF"/>
        <w:spacing w:after="0" w:line="240" w:lineRule="auto"/>
        <w:jc w:val="center"/>
        <w:rPr>
          <w:rFonts w:ascii="Arial" w:eastAsia="Times New Roman" w:hAnsi="Arial" w:cs="Arial"/>
          <w:color w:val="2E2627"/>
          <w:sz w:val="18"/>
          <w:szCs w:val="18"/>
          <w:lang w:eastAsia="fr-FR"/>
        </w:rPr>
      </w:pPr>
      <w:r w:rsidRPr="00111353">
        <w:rPr>
          <w:rFonts w:ascii="Times New Roman" w:eastAsia="Times New Roman" w:hAnsi="Times New Roman" w:cs="Times New Roman"/>
          <w:b/>
          <w:bCs/>
          <w:color w:val="2E2627"/>
          <w:sz w:val="36"/>
          <w:szCs w:val="36"/>
          <w:lang w:eastAsia="fr-FR"/>
        </w:rPr>
        <w:t>L’enfant souffrant du TDA/H :</w:t>
      </w:r>
    </w:p>
    <w:p w:rsidR="00111353" w:rsidRPr="00111353" w:rsidRDefault="00111353" w:rsidP="00111353">
      <w:pPr>
        <w:shd w:val="clear" w:color="auto" w:fill="FFFFFF"/>
        <w:spacing w:after="0" w:line="240" w:lineRule="auto"/>
        <w:jc w:val="center"/>
        <w:rPr>
          <w:rFonts w:ascii="Times-Bold" w:eastAsia="Times New Roman" w:hAnsi="Times-Bold" w:cs="Arial"/>
          <w:color w:val="231F20"/>
          <w:sz w:val="36"/>
          <w:szCs w:val="36"/>
          <w:lang w:eastAsia="fr-FR"/>
        </w:rPr>
      </w:pPr>
      <w:proofErr w:type="gramStart"/>
      <w:r w:rsidRPr="00111353">
        <w:rPr>
          <w:rFonts w:ascii="Times-Bold" w:eastAsia="Times New Roman" w:hAnsi="Times-Bold" w:cs="Arial"/>
          <w:color w:val="231F20"/>
          <w:sz w:val="36"/>
          <w:szCs w:val="36"/>
          <w:lang w:eastAsia="fr-FR"/>
        </w:rPr>
        <w:t>des</w:t>
      </w:r>
      <w:proofErr w:type="gramEnd"/>
      <w:r w:rsidRPr="00111353">
        <w:rPr>
          <w:rFonts w:ascii="Times-Bold" w:eastAsia="Times New Roman" w:hAnsi="Times-Bold" w:cs="Arial"/>
          <w:color w:val="231F20"/>
          <w:sz w:val="36"/>
          <w:szCs w:val="36"/>
          <w:lang w:eastAsia="fr-FR"/>
        </w:rPr>
        <w:t xml:space="preserve"> modèles théoriques à l’intervention</w:t>
      </w:r>
    </w:p>
    <w:p w:rsidR="00111353" w:rsidRPr="00111353" w:rsidRDefault="00111353" w:rsidP="00111353">
      <w:pPr>
        <w:shd w:val="clear" w:color="auto" w:fill="FFFFFF"/>
        <w:spacing w:after="0" w:line="240" w:lineRule="auto"/>
        <w:jc w:val="center"/>
        <w:rPr>
          <w:rFonts w:ascii="Times-Bold" w:eastAsia="Times New Roman" w:hAnsi="Times-Bold" w:cs="Arial"/>
          <w:color w:val="231F20"/>
          <w:sz w:val="8"/>
          <w:szCs w:val="48"/>
          <w:lang w:eastAsia="fr-FR"/>
        </w:rPr>
      </w:pPr>
    </w:p>
    <w:p w:rsidR="00111353" w:rsidRPr="00111353" w:rsidRDefault="00111353" w:rsidP="00111353">
      <w:pPr>
        <w:shd w:val="clear" w:color="auto" w:fill="FFFFFF"/>
        <w:spacing w:after="0" w:line="240" w:lineRule="auto"/>
        <w:jc w:val="center"/>
        <w:rPr>
          <w:rFonts w:ascii="Arial" w:eastAsia="Times New Roman" w:hAnsi="Arial" w:cs="Arial"/>
          <w:color w:val="2E2627"/>
          <w:sz w:val="18"/>
          <w:szCs w:val="18"/>
          <w:lang w:eastAsia="fr-FR"/>
        </w:rPr>
      </w:pPr>
    </w:p>
    <w:p w:rsidR="00111353" w:rsidRDefault="00111353" w:rsidP="00111353">
      <w:pPr>
        <w:shd w:val="clear" w:color="auto" w:fill="FFFFFF"/>
        <w:spacing w:after="0" w:line="240" w:lineRule="auto"/>
        <w:jc w:val="center"/>
        <w:rPr>
          <w:rFonts w:ascii="Times-Italic" w:eastAsia="Times New Roman" w:hAnsi="Times-Italic" w:cs="Arial"/>
          <w:i/>
          <w:iCs/>
          <w:color w:val="231F20"/>
          <w:sz w:val="24"/>
          <w:szCs w:val="24"/>
          <w:lang w:eastAsia="fr-FR"/>
        </w:rPr>
      </w:pPr>
      <w:r w:rsidRPr="00111353">
        <w:rPr>
          <w:rFonts w:ascii="Times-Italic" w:eastAsia="Times New Roman" w:hAnsi="Times-Italic" w:cs="Arial"/>
          <w:i/>
          <w:iCs/>
          <w:color w:val="231F20"/>
          <w:sz w:val="24"/>
          <w:szCs w:val="24"/>
          <w:lang w:eastAsia="fr-FR"/>
        </w:rPr>
        <w:t xml:space="preserve">Numéro coordonné par le Pr Isabelle </w:t>
      </w:r>
      <w:proofErr w:type="spellStart"/>
      <w:r w:rsidRPr="00111353">
        <w:rPr>
          <w:rFonts w:ascii="Times-Italic" w:eastAsia="Times New Roman" w:hAnsi="Times-Italic" w:cs="Arial"/>
          <w:i/>
          <w:iCs/>
          <w:color w:val="231F20"/>
          <w:sz w:val="24"/>
          <w:szCs w:val="24"/>
          <w:lang w:eastAsia="fr-FR"/>
        </w:rPr>
        <w:t>Roskam</w:t>
      </w:r>
      <w:proofErr w:type="spellEnd"/>
      <w:r w:rsidRPr="00111353">
        <w:rPr>
          <w:rFonts w:ascii="Times-Italic" w:eastAsia="Times New Roman" w:hAnsi="Times-Italic" w:cs="Arial"/>
          <w:i/>
          <w:iCs/>
          <w:color w:val="231F20"/>
          <w:sz w:val="24"/>
          <w:szCs w:val="24"/>
          <w:lang w:eastAsia="fr-FR"/>
        </w:rPr>
        <w:t xml:space="preserve"> (UCL)</w:t>
      </w:r>
    </w:p>
    <w:p w:rsidR="00111353" w:rsidRDefault="00111353" w:rsidP="00111353">
      <w:pPr>
        <w:shd w:val="clear" w:color="auto" w:fill="FFFFFF"/>
        <w:spacing w:after="0" w:line="240" w:lineRule="auto"/>
        <w:jc w:val="center"/>
        <w:rPr>
          <w:rFonts w:ascii="Times-Italic" w:eastAsia="Times New Roman" w:hAnsi="Times-Italic" w:cs="Arial"/>
          <w:i/>
          <w:iCs/>
          <w:color w:val="231F20"/>
          <w:sz w:val="24"/>
          <w:szCs w:val="24"/>
          <w:lang w:eastAsia="fr-FR"/>
        </w:rPr>
      </w:pPr>
    </w:p>
    <w:p w:rsidR="00111353" w:rsidRPr="00111353" w:rsidRDefault="00111353" w:rsidP="00111353">
      <w:pPr>
        <w:shd w:val="clear" w:color="auto" w:fill="FFFFFF"/>
        <w:spacing w:after="0" w:line="240" w:lineRule="auto"/>
        <w:jc w:val="center"/>
        <w:rPr>
          <w:rFonts w:ascii="Arial" w:eastAsia="Times New Roman" w:hAnsi="Arial" w:cs="Arial"/>
          <w:color w:val="2E2627"/>
          <w:sz w:val="18"/>
          <w:szCs w:val="18"/>
          <w:lang w:eastAsia="fr-FR"/>
        </w:rPr>
      </w:pP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Pr>
          <w:rFonts w:ascii="Times New Roman" w:eastAsia="Times New Roman" w:hAnsi="Times New Roman" w:cs="Times New Roman"/>
          <w:noProof/>
          <w:color w:val="2E2627"/>
          <w:sz w:val="24"/>
          <w:szCs w:val="24"/>
          <w:lang w:eastAsia="fr-FR"/>
        </w:rPr>
        <w:drawing>
          <wp:anchor distT="0" distB="0" distL="114300" distR="114300" simplePos="0" relativeHeight="251658240" behindDoc="0" locked="0" layoutInCell="1" allowOverlap="1">
            <wp:simplePos x="901700" y="2432050"/>
            <wp:positionH relativeFrom="margin">
              <wp:align>left</wp:align>
            </wp:positionH>
            <wp:positionV relativeFrom="margin">
              <wp:align>top</wp:align>
            </wp:positionV>
            <wp:extent cx="1320800" cy="1866900"/>
            <wp:effectExtent l="38100" t="76200" r="107950" b="7620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e 114 TDA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0800" cy="1866900"/>
                    </a:xfrm>
                    <a:prstGeom prst="rect">
                      <a:avLst/>
                    </a:prstGeom>
                    <a:ln>
                      <a:solidFill>
                        <a:schemeClr val="tx1"/>
                      </a:solidFill>
                    </a:ln>
                    <a:effectLst>
                      <a:outerShdw blurRad="50800" dist="38100" algn="l" rotWithShape="0">
                        <a:prstClr val="black">
                          <a:alpha val="40000"/>
                        </a:prstClr>
                      </a:outerShdw>
                    </a:effectLst>
                  </pic:spPr>
                </pic:pic>
              </a:graphicData>
            </a:graphic>
          </wp:anchor>
        </w:drawing>
      </w:r>
      <w:r w:rsidRPr="00111353">
        <w:rPr>
          <w:rFonts w:ascii="Times New Roman" w:eastAsia="Times New Roman" w:hAnsi="Times New Roman" w:cs="Times New Roman"/>
          <w:color w:val="2E2627"/>
          <w:sz w:val="24"/>
          <w:szCs w:val="24"/>
          <w:lang w:eastAsia="fr-FR"/>
        </w:rPr>
        <w:t>Le Trouble du Déficit de l’Attention avec Hyperactivité (TDAH) touche 5 à 7 % des enfants et des adolescents. Il a donc naturellement suscité l’intérêt des chercheurs et celui des cliniciens.</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Les chercheurs sont en quête des facteurs étiologiques ou associés au TDAH. Ils visent la compréhension des processus développementaux à l’œuvre et des mécanismes sous-jacents à l’apparition des symptômes liés aux TDAH. Les facteurs neurobiologiques, postulant un rôle étiologique des fonctions cognitives et du système nerveux dans le TDAH, sont parmi les plus documentés dans la littérature. Mais les chercheurs se sont également intéressés au rôle joué par les facteurs environnementaux tels que les pratiques éducatives parentales ou la qualité des relations d’attachement.</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Les cliniciens pour leur part, accompagnent les enfants dans leur développement moteur, relationnel, langagier et cognitif. Ils agissent comme de véritables tuteurs de résilience pour permettre à l’enfant de franchir les étapes scolaires et de s’intégrer dans les groupes de pairs. Ils jouent aussi un rôle primordial auprès des familles de ces enfants tant les répercussions du TDAH sur la sphère familiale sont importantes et difficiles à réguler.</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Ce numéro spécial a pour ambition de favoriser le dialogue essentiel entre chercheurs et cliniciens. Les uns ont à affiner leurs modèles théoriques pour qu’ils fournissent une vision compréhensive des difficultés rencontrées par les enfants souffrant de TDAH ; les autres ont à concevoir des interventions théoriquement fondées. Dans cette optique, ce numéro 114 comporte deux revues de littérature, l’une de l’ensemble des modèles théoriques du TDAH et l’autre, des déficits motivationnels dans le TDAH.</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Ces deux revues de littérature permettent de faire le point sur les perspectives théoriques les plus importantes. L’association entre TDAH et troubles du langage est par la suite évoquée à partir d’une étude empirique longitudinale menée dans la région de Montréal. Elle insiste sur l’émergence d’associations précoces entre les capacités langagières et le TDAH.</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À cette perspective neurodéveloppementale s’ajoute une perspective environnementale dans laquelle les liens avec la théorie de l’attachement sont évoqués. Celle-ci offre en effet un cadre théorique intéressant pour appréhender les difficultés de régulation émotionnelle et comportementale des enfants avec TDAH.</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Des recommandations pour la prise en charge de ces enfants et de leur famille y sont évoquées. Le numéro spécial se referme sur deux contributions directement liées à l’intervention auprès des enfants. La première se focalise sur la rééducation de l’inhibition chez 7 garçons âgés de 6 à 11 ans. La question de la pertinence théorique et clinique d’une distinction entre inhibition motrice et cognitive y est posée. La seconde rapporte sous la forme d’une brève étude de cas, l’intégration scolaire d’un enfant atteint de TDAH dans l’enseignement fondamental.</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 w:eastAsia="Times New Roman" w:hAnsi="Times" w:cs="Arial"/>
          <w:color w:val="2E2627"/>
          <w:sz w:val="24"/>
          <w:szCs w:val="24"/>
          <w:lang w:eastAsia="fr-FR"/>
        </w:rPr>
        <w:t xml:space="preserve">Les contributions théoriques et empiriques à ce numéro sont de grande qualité et servent bien l’objectif que nous nous étions fixés de favoriser le dialogue essentiel entre chercheurs et </w:t>
      </w:r>
      <w:r w:rsidRPr="00111353">
        <w:rPr>
          <w:rFonts w:ascii="Times" w:eastAsia="Times New Roman" w:hAnsi="Times" w:cs="Arial"/>
          <w:color w:val="2E2627"/>
          <w:sz w:val="24"/>
          <w:szCs w:val="24"/>
          <w:lang w:eastAsia="fr-FR"/>
        </w:rPr>
        <w:lastRenderedPageBreak/>
        <w:t>cliniciens. Les auteurs qui ont contribué à cet objectif proviennent de Belgique, de Suisse, et du Canada. Ils donnent du TDAH une vision multifactorielle qui nous permet de réinsister sur l’intérêt de la collaboration internationale interdisciplinaire. Que ces auteurs soient remerciés pour leur implication dans ce projet.</w:t>
      </w:r>
    </w:p>
    <w:p w:rsidR="00111353" w:rsidRPr="00111353" w:rsidRDefault="00111353" w:rsidP="00111353">
      <w:pPr>
        <w:shd w:val="clear" w:color="auto" w:fill="FFFFFF"/>
        <w:spacing w:after="0" w:line="240" w:lineRule="auto"/>
        <w:jc w:val="right"/>
        <w:rPr>
          <w:rFonts w:ascii="Arial" w:eastAsia="Times New Roman" w:hAnsi="Arial" w:cs="Arial"/>
          <w:color w:val="2E2627"/>
          <w:sz w:val="18"/>
          <w:szCs w:val="18"/>
          <w:lang w:eastAsia="fr-FR"/>
        </w:rPr>
      </w:pPr>
      <w:r w:rsidRPr="00111353">
        <w:rPr>
          <w:rFonts w:ascii="Times New Roman" w:eastAsia="Times New Roman" w:hAnsi="Times New Roman" w:cs="Times New Roman"/>
          <w:color w:val="2E2627"/>
          <w:sz w:val="24"/>
          <w:szCs w:val="24"/>
          <w:lang w:eastAsia="fr-FR"/>
        </w:rPr>
        <w:t xml:space="preserve">Pr Isabelle </w:t>
      </w:r>
      <w:proofErr w:type="spellStart"/>
      <w:r w:rsidRPr="00111353">
        <w:rPr>
          <w:rFonts w:ascii="Times New Roman" w:eastAsia="Times New Roman" w:hAnsi="Times New Roman" w:cs="Times New Roman"/>
          <w:color w:val="2E2627"/>
          <w:sz w:val="24"/>
          <w:szCs w:val="24"/>
          <w:lang w:eastAsia="fr-FR"/>
        </w:rPr>
        <w:t>Roskam</w:t>
      </w:r>
      <w:proofErr w:type="spellEnd"/>
    </w:p>
    <w:p w:rsidR="00111353" w:rsidRPr="00111353" w:rsidRDefault="00111353" w:rsidP="00111353">
      <w:pPr>
        <w:shd w:val="clear" w:color="auto" w:fill="FFFFFF"/>
        <w:spacing w:after="0" w:line="240" w:lineRule="auto"/>
        <w:jc w:val="right"/>
        <w:rPr>
          <w:rFonts w:ascii="Arial" w:eastAsia="Times New Roman" w:hAnsi="Arial" w:cs="Arial"/>
          <w:color w:val="2E2627"/>
          <w:sz w:val="18"/>
          <w:szCs w:val="18"/>
          <w:lang w:eastAsia="fr-FR"/>
        </w:rPr>
      </w:pPr>
      <w:r w:rsidRPr="00111353">
        <w:rPr>
          <w:rFonts w:ascii="Times New Roman" w:eastAsia="Times New Roman" w:hAnsi="Times New Roman" w:cs="Times New Roman"/>
          <w:i/>
          <w:iCs/>
          <w:color w:val="2E2627"/>
          <w:sz w:val="24"/>
          <w:szCs w:val="24"/>
          <w:lang w:eastAsia="fr-FR"/>
        </w:rPr>
        <w:t>Université Catholique de Louvain (UCL)</w:t>
      </w:r>
    </w:p>
    <w:p w:rsidR="00111353" w:rsidRPr="00111353" w:rsidRDefault="00111353" w:rsidP="00111353">
      <w:pPr>
        <w:shd w:val="clear" w:color="auto" w:fill="FFFFFF"/>
        <w:spacing w:after="0" w:line="240" w:lineRule="auto"/>
        <w:jc w:val="right"/>
        <w:rPr>
          <w:rFonts w:ascii="Arial" w:eastAsia="Times New Roman" w:hAnsi="Arial" w:cs="Arial"/>
          <w:color w:val="2E2627"/>
          <w:sz w:val="18"/>
          <w:szCs w:val="18"/>
          <w:lang w:val="en-US" w:eastAsia="fr-FR"/>
        </w:rPr>
      </w:pPr>
      <w:r w:rsidRPr="00111353">
        <w:rPr>
          <w:rFonts w:ascii="Times New Roman" w:eastAsia="Times New Roman" w:hAnsi="Times New Roman" w:cs="Times New Roman"/>
          <w:i/>
          <w:iCs/>
          <w:color w:val="2E2627"/>
          <w:sz w:val="24"/>
          <w:szCs w:val="24"/>
          <w:lang w:val="en-US" w:eastAsia="fr-FR"/>
        </w:rPr>
        <w:t>Institute of Research in Psychological Sciences</w:t>
      </w:r>
    </w:p>
    <w:p w:rsidR="00111353" w:rsidRDefault="00111353" w:rsidP="00111353">
      <w:pPr>
        <w:shd w:val="clear" w:color="auto" w:fill="FFFFFF"/>
        <w:spacing w:after="0" w:line="240" w:lineRule="auto"/>
        <w:jc w:val="center"/>
        <w:rPr>
          <w:rFonts w:ascii="Times New Roman" w:eastAsia="Times New Roman" w:hAnsi="Times New Roman" w:cs="Times New Roman"/>
          <w:b/>
          <w:bCs/>
          <w:color w:val="2E2627"/>
          <w:sz w:val="28"/>
          <w:szCs w:val="28"/>
          <w:lang w:eastAsia="fr-FR"/>
        </w:rPr>
      </w:pPr>
    </w:p>
    <w:p w:rsidR="00111353" w:rsidRDefault="00111353" w:rsidP="00111353">
      <w:pPr>
        <w:shd w:val="clear" w:color="auto" w:fill="FFFFFF"/>
        <w:spacing w:after="0" w:line="240" w:lineRule="auto"/>
        <w:jc w:val="center"/>
        <w:rPr>
          <w:rFonts w:ascii="Times New Roman" w:eastAsia="Times New Roman" w:hAnsi="Times New Roman" w:cs="Times New Roman"/>
          <w:b/>
          <w:bCs/>
          <w:color w:val="2E2627"/>
          <w:sz w:val="28"/>
          <w:szCs w:val="28"/>
          <w:lang w:eastAsia="fr-FR"/>
        </w:rPr>
      </w:pPr>
    </w:p>
    <w:p w:rsidR="00111353" w:rsidRPr="00594876" w:rsidRDefault="008D3DB1" w:rsidP="00111353">
      <w:pPr>
        <w:shd w:val="clear" w:color="auto" w:fill="FFFFFF"/>
        <w:spacing w:after="0" w:line="240" w:lineRule="auto"/>
        <w:jc w:val="center"/>
        <w:rPr>
          <w:rFonts w:ascii="Arial" w:eastAsia="Times New Roman" w:hAnsi="Arial" w:cs="Arial"/>
          <w:color w:val="0070C0"/>
          <w:sz w:val="18"/>
          <w:szCs w:val="18"/>
          <w:u w:val="single"/>
          <w:lang w:eastAsia="fr-FR"/>
        </w:rPr>
      </w:pPr>
      <w:hyperlink r:id="rId5" w:history="1">
        <w:r w:rsidR="00111353" w:rsidRPr="00594876">
          <w:rPr>
            <w:rFonts w:ascii="Times New Roman" w:eastAsia="Times New Roman" w:hAnsi="Times New Roman" w:cs="Times New Roman"/>
            <w:b/>
            <w:bCs/>
            <w:color w:val="0070C0"/>
            <w:sz w:val="28"/>
            <w:szCs w:val="28"/>
            <w:u w:val="single"/>
            <w:lang w:eastAsia="fr-FR"/>
          </w:rPr>
          <w:t>Acheter le N° 114 - TDA/H</w:t>
        </w:r>
      </w:hyperlink>
    </w:p>
    <w:p w:rsidR="00111353" w:rsidRDefault="00111353" w:rsidP="00111353">
      <w:pPr>
        <w:shd w:val="clear" w:color="auto" w:fill="FFFFFF"/>
        <w:spacing w:after="0" w:line="240" w:lineRule="auto"/>
        <w:jc w:val="center"/>
        <w:rPr>
          <w:rFonts w:ascii="Arial" w:eastAsia="Times New Roman" w:hAnsi="Arial" w:cs="Arial"/>
          <w:b/>
          <w:bCs/>
          <w:color w:val="993300"/>
          <w:sz w:val="24"/>
          <w:szCs w:val="24"/>
          <w:lang w:eastAsia="fr-FR"/>
        </w:rPr>
      </w:pPr>
    </w:p>
    <w:p w:rsidR="00111353" w:rsidRDefault="00111353" w:rsidP="00111353">
      <w:pPr>
        <w:shd w:val="clear" w:color="auto" w:fill="FFFFFF"/>
        <w:spacing w:after="0" w:line="240" w:lineRule="auto"/>
        <w:jc w:val="center"/>
        <w:rPr>
          <w:rFonts w:ascii="Arial" w:eastAsia="Times New Roman" w:hAnsi="Arial" w:cs="Arial"/>
          <w:b/>
          <w:bCs/>
          <w:color w:val="993300"/>
          <w:sz w:val="24"/>
          <w:szCs w:val="24"/>
          <w:lang w:eastAsia="fr-FR"/>
        </w:rPr>
      </w:pPr>
    </w:p>
    <w:p w:rsidR="005F3986" w:rsidRPr="005F3986" w:rsidRDefault="005F3986" w:rsidP="005F3986">
      <w:pPr>
        <w:shd w:val="clear" w:color="auto" w:fill="FFFFFF"/>
        <w:spacing w:after="0" w:line="240" w:lineRule="auto"/>
        <w:rPr>
          <w:rFonts w:ascii="Times New Roman" w:eastAsia="Times New Roman" w:hAnsi="Times New Roman" w:cs="Times New Roman"/>
          <w:bCs/>
          <w:sz w:val="24"/>
          <w:szCs w:val="24"/>
          <w:lang w:eastAsia="fr-FR"/>
        </w:rPr>
      </w:pPr>
      <w:r w:rsidRPr="005F3986">
        <w:rPr>
          <w:rFonts w:ascii="Times New Roman" w:eastAsia="Times New Roman" w:hAnsi="Times New Roman" w:cs="Times New Roman"/>
          <w:bCs/>
          <w:sz w:val="24"/>
          <w:szCs w:val="24"/>
          <w:lang w:eastAsia="fr-FR"/>
        </w:rPr>
        <w:t>Revue des modèles et théories sur les hyperactivités de l’enfant :</w:t>
      </w:r>
      <w:r>
        <w:rPr>
          <w:rFonts w:ascii="Times New Roman" w:eastAsia="Times New Roman" w:hAnsi="Times New Roman" w:cs="Times New Roman"/>
          <w:bCs/>
          <w:sz w:val="24"/>
          <w:szCs w:val="24"/>
          <w:lang w:eastAsia="fr-FR"/>
        </w:rPr>
        <w:t xml:space="preserve"> </w:t>
      </w:r>
      <w:r w:rsidRPr="005F3986">
        <w:rPr>
          <w:rFonts w:ascii="Times New Roman" w:eastAsia="Times New Roman" w:hAnsi="Times New Roman" w:cs="Times New Roman"/>
          <w:bCs/>
          <w:sz w:val="24"/>
          <w:szCs w:val="24"/>
          <w:lang w:eastAsia="fr-FR"/>
        </w:rPr>
        <w:t>antagonisme ou complémentarité ?</w:t>
      </w:r>
      <w:r w:rsidRPr="005F3986">
        <w:t xml:space="preserve"> </w:t>
      </w:r>
      <w:r w:rsidRPr="005F3986">
        <w:rPr>
          <w:rFonts w:ascii="Times New Roman" w:eastAsia="Times New Roman" w:hAnsi="Times New Roman" w:cs="Times New Roman"/>
          <w:bCs/>
          <w:i/>
          <w:sz w:val="20"/>
          <w:szCs w:val="24"/>
          <w:lang w:eastAsia="fr-FR"/>
        </w:rPr>
        <w:t>V. QUARTIER (Lausanne), S. NASHAT (Londres)</w:t>
      </w:r>
    </w:p>
    <w:p w:rsidR="005F3986" w:rsidRPr="005F3986" w:rsidRDefault="005F3986" w:rsidP="005F3986">
      <w:pPr>
        <w:shd w:val="clear" w:color="auto" w:fill="FFFFFF"/>
        <w:spacing w:after="0" w:line="240" w:lineRule="auto"/>
        <w:rPr>
          <w:rFonts w:ascii="Times New Roman" w:eastAsia="Times New Roman" w:hAnsi="Times New Roman" w:cs="Times New Roman"/>
          <w:bCs/>
          <w:i/>
          <w:sz w:val="20"/>
          <w:szCs w:val="24"/>
          <w:lang w:eastAsia="fr-FR"/>
        </w:rPr>
      </w:pPr>
      <w:r w:rsidRPr="005F3986">
        <w:rPr>
          <w:rFonts w:ascii="Times New Roman" w:eastAsia="Times New Roman" w:hAnsi="Times New Roman" w:cs="Times New Roman"/>
          <w:bCs/>
          <w:sz w:val="24"/>
          <w:szCs w:val="24"/>
          <w:lang w:eastAsia="fr-FR"/>
        </w:rPr>
        <w:t>Déficits motivationnels dans le TDAH : entre perspective novatrice</w:t>
      </w:r>
      <w:r>
        <w:rPr>
          <w:rFonts w:ascii="Times New Roman" w:eastAsia="Times New Roman" w:hAnsi="Times New Roman" w:cs="Times New Roman"/>
          <w:bCs/>
          <w:sz w:val="24"/>
          <w:szCs w:val="24"/>
          <w:lang w:eastAsia="fr-FR"/>
        </w:rPr>
        <w:t xml:space="preserve"> </w:t>
      </w:r>
      <w:r w:rsidRPr="005F3986">
        <w:rPr>
          <w:rFonts w:ascii="Times New Roman" w:eastAsia="Times New Roman" w:hAnsi="Times New Roman" w:cs="Times New Roman"/>
          <w:bCs/>
          <w:sz w:val="24"/>
          <w:szCs w:val="24"/>
          <w:lang w:eastAsia="fr-FR"/>
        </w:rPr>
        <w:t>et relecture de concepts fondamentaux.</w:t>
      </w:r>
      <w:r w:rsidRPr="005F3986">
        <w:rPr>
          <w:rFonts w:ascii="Times New Roman" w:eastAsia="Times New Roman" w:hAnsi="Times New Roman" w:cs="Times New Roman"/>
          <w:bCs/>
          <w:i/>
          <w:sz w:val="20"/>
          <w:szCs w:val="24"/>
          <w:lang w:eastAsia="fr-FR"/>
        </w:rPr>
        <w:t xml:space="preserve"> </w:t>
      </w:r>
      <w:r w:rsidRPr="005F3986">
        <w:rPr>
          <w:rFonts w:ascii="Times New Roman" w:eastAsia="Times New Roman" w:hAnsi="Times New Roman" w:cs="Times New Roman"/>
          <w:bCs/>
          <w:i/>
          <w:sz w:val="20"/>
          <w:szCs w:val="24"/>
          <w:lang w:eastAsia="fr-FR"/>
        </w:rPr>
        <w:t xml:space="preserve">M. PIRE, N. VAN BROECK (UCL/KUL) </w:t>
      </w:r>
    </w:p>
    <w:p w:rsidR="00A878D6" w:rsidRPr="005F3986" w:rsidRDefault="005F3986" w:rsidP="00A878D6">
      <w:pPr>
        <w:shd w:val="clear" w:color="auto" w:fill="FFFFFF"/>
        <w:spacing w:after="0" w:line="240" w:lineRule="auto"/>
        <w:rPr>
          <w:rFonts w:ascii="Times New Roman" w:eastAsia="Times New Roman" w:hAnsi="Times New Roman" w:cs="Times New Roman"/>
          <w:bCs/>
          <w:i/>
          <w:sz w:val="20"/>
          <w:szCs w:val="24"/>
          <w:lang w:eastAsia="fr-FR"/>
        </w:rPr>
      </w:pPr>
      <w:r w:rsidRPr="005F3986">
        <w:rPr>
          <w:rFonts w:ascii="Times New Roman" w:eastAsia="Times New Roman" w:hAnsi="Times New Roman" w:cs="Times New Roman"/>
          <w:bCs/>
          <w:sz w:val="24"/>
          <w:szCs w:val="24"/>
          <w:lang w:eastAsia="fr-FR"/>
        </w:rPr>
        <w:t>Trouble du déficit d’attention/hyperactivité (TDAH) et Attachement :</w:t>
      </w:r>
      <w:r>
        <w:rPr>
          <w:rFonts w:ascii="Times New Roman" w:eastAsia="Times New Roman" w:hAnsi="Times New Roman" w:cs="Times New Roman"/>
          <w:bCs/>
          <w:sz w:val="24"/>
          <w:szCs w:val="24"/>
          <w:lang w:eastAsia="fr-FR"/>
        </w:rPr>
        <w:t xml:space="preserve"> </w:t>
      </w:r>
      <w:r w:rsidRPr="005F3986">
        <w:rPr>
          <w:rFonts w:ascii="Times New Roman" w:eastAsia="Times New Roman" w:hAnsi="Times New Roman" w:cs="Times New Roman"/>
          <w:bCs/>
          <w:sz w:val="24"/>
          <w:szCs w:val="24"/>
          <w:lang w:eastAsia="fr-FR"/>
        </w:rPr>
        <w:t>pistes convergentes ou parallèles ?</w:t>
      </w:r>
      <w:r w:rsidR="00A878D6">
        <w:rPr>
          <w:rFonts w:ascii="Times New Roman" w:eastAsia="Times New Roman" w:hAnsi="Times New Roman" w:cs="Times New Roman"/>
          <w:bCs/>
          <w:sz w:val="24"/>
          <w:szCs w:val="24"/>
          <w:lang w:eastAsia="fr-FR"/>
        </w:rPr>
        <w:t xml:space="preserve"> </w:t>
      </w:r>
      <w:r w:rsidR="00A878D6" w:rsidRPr="005F3986">
        <w:rPr>
          <w:rFonts w:ascii="Times New Roman" w:eastAsia="Times New Roman" w:hAnsi="Times New Roman" w:cs="Times New Roman"/>
          <w:bCs/>
          <w:i/>
          <w:sz w:val="20"/>
          <w:szCs w:val="24"/>
          <w:lang w:eastAsia="fr-FR"/>
        </w:rPr>
        <w:t xml:space="preserve">M. BADER, B. PIERREHUMBERT (Lausanne) </w:t>
      </w:r>
    </w:p>
    <w:p w:rsidR="005F3986" w:rsidRPr="005F3986" w:rsidRDefault="005F3986" w:rsidP="005F3986">
      <w:pPr>
        <w:shd w:val="clear" w:color="auto" w:fill="FFFFFF"/>
        <w:spacing w:after="0" w:line="240" w:lineRule="auto"/>
        <w:rPr>
          <w:rFonts w:ascii="Times New Roman" w:eastAsia="Times New Roman" w:hAnsi="Times New Roman" w:cs="Times New Roman"/>
          <w:bCs/>
          <w:sz w:val="24"/>
          <w:szCs w:val="24"/>
          <w:lang w:eastAsia="fr-FR"/>
        </w:rPr>
      </w:pPr>
      <w:r w:rsidRPr="005F3986">
        <w:rPr>
          <w:rFonts w:ascii="Times New Roman" w:eastAsia="Times New Roman" w:hAnsi="Times New Roman" w:cs="Times New Roman"/>
          <w:bCs/>
          <w:sz w:val="24"/>
          <w:szCs w:val="24"/>
          <w:lang w:eastAsia="fr-FR"/>
        </w:rPr>
        <w:t>Retard de langage et TDAH : émergence du lien à la petite enfance.</w:t>
      </w:r>
      <w:r w:rsidR="00A878D6">
        <w:rPr>
          <w:rFonts w:ascii="Times New Roman" w:eastAsia="Times New Roman" w:hAnsi="Times New Roman" w:cs="Times New Roman"/>
          <w:bCs/>
          <w:sz w:val="24"/>
          <w:szCs w:val="24"/>
          <w:lang w:eastAsia="fr-FR"/>
        </w:rPr>
        <w:t xml:space="preserve"> </w:t>
      </w:r>
      <w:r w:rsidR="00A878D6" w:rsidRPr="005F3986">
        <w:rPr>
          <w:rFonts w:ascii="Times New Roman" w:eastAsia="Times New Roman" w:hAnsi="Times New Roman" w:cs="Times New Roman"/>
          <w:bCs/>
          <w:i/>
          <w:sz w:val="20"/>
          <w:szCs w:val="24"/>
          <w:lang w:eastAsia="fr-FR"/>
        </w:rPr>
        <w:t>G. DIONNE, E. OUELLET (Laval)</w:t>
      </w:r>
    </w:p>
    <w:p w:rsidR="005F3986" w:rsidRPr="005F3986" w:rsidRDefault="005F3986" w:rsidP="005F3986">
      <w:pPr>
        <w:shd w:val="clear" w:color="auto" w:fill="FFFFFF"/>
        <w:spacing w:after="0" w:line="240" w:lineRule="auto"/>
        <w:rPr>
          <w:rFonts w:ascii="Times New Roman" w:eastAsia="Times New Roman" w:hAnsi="Times New Roman" w:cs="Times New Roman"/>
          <w:bCs/>
          <w:sz w:val="24"/>
          <w:szCs w:val="24"/>
          <w:lang w:eastAsia="fr-FR"/>
        </w:rPr>
      </w:pPr>
      <w:r w:rsidRPr="005F3986">
        <w:rPr>
          <w:rFonts w:ascii="Times New Roman" w:eastAsia="Times New Roman" w:hAnsi="Times New Roman" w:cs="Times New Roman"/>
          <w:bCs/>
          <w:sz w:val="24"/>
          <w:szCs w:val="24"/>
          <w:lang w:eastAsia="fr-FR"/>
        </w:rPr>
        <w:t xml:space="preserve">L’inhibition </w:t>
      </w:r>
      <w:proofErr w:type="spellStart"/>
      <w:r w:rsidRPr="005F3986">
        <w:rPr>
          <w:rFonts w:ascii="Times New Roman" w:eastAsia="Times New Roman" w:hAnsi="Times New Roman" w:cs="Times New Roman"/>
          <w:bCs/>
          <w:sz w:val="24"/>
          <w:szCs w:val="24"/>
          <w:lang w:eastAsia="fr-FR"/>
        </w:rPr>
        <w:t>cognitivo-verbale</w:t>
      </w:r>
      <w:proofErr w:type="spellEnd"/>
      <w:r w:rsidRPr="005F3986">
        <w:rPr>
          <w:rFonts w:ascii="Times New Roman" w:eastAsia="Times New Roman" w:hAnsi="Times New Roman" w:cs="Times New Roman"/>
          <w:bCs/>
          <w:sz w:val="24"/>
          <w:szCs w:val="24"/>
          <w:lang w:eastAsia="fr-FR"/>
        </w:rPr>
        <w:t xml:space="preserve"> et l’inhibition motrice : une distinction nécessaire ?</w:t>
      </w:r>
    </w:p>
    <w:p w:rsidR="00A878D6" w:rsidRPr="005F3986" w:rsidRDefault="005F3986" w:rsidP="00A878D6">
      <w:pPr>
        <w:shd w:val="clear" w:color="auto" w:fill="FFFFFF"/>
        <w:spacing w:after="0" w:line="240" w:lineRule="auto"/>
        <w:rPr>
          <w:rFonts w:ascii="Times New Roman" w:eastAsia="Times New Roman" w:hAnsi="Times New Roman" w:cs="Times New Roman"/>
          <w:bCs/>
          <w:i/>
          <w:sz w:val="20"/>
          <w:szCs w:val="24"/>
          <w:lang w:eastAsia="fr-FR"/>
        </w:rPr>
      </w:pPr>
      <w:r w:rsidRPr="005F3986">
        <w:rPr>
          <w:rFonts w:ascii="Times New Roman" w:eastAsia="Times New Roman" w:hAnsi="Times New Roman" w:cs="Times New Roman"/>
          <w:bCs/>
          <w:sz w:val="24"/>
          <w:szCs w:val="24"/>
          <w:lang w:eastAsia="fr-FR"/>
        </w:rPr>
        <w:t>Approche par une intervention neuropsychologique.</w:t>
      </w:r>
      <w:r w:rsidR="00A878D6">
        <w:rPr>
          <w:rFonts w:ascii="Times New Roman" w:eastAsia="Times New Roman" w:hAnsi="Times New Roman" w:cs="Times New Roman"/>
          <w:bCs/>
          <w:sz w:val="24"/>
          <w:szCs w:val="24"/>
          <w:lang w:eastAsia="fr-FR"/>
        </w:rPr>
        <w:t xml:space="preserve"> </w:t>
      </w:r>
      <w:r w:rsidR="00A878D6" w:rsidRPr="005F3986">
        <w:rPr>
          <w:rFonts w:ascii="Times New Roman" w:eastAsia="Times New Roman" w:hAnsi="Times New Roman" w:cs="Times New Roman"/>
          <w:bCs/>
          <w:i/>
          <w:sz w:val="20"/>
          <w:szCs w:val="24"/>
          <w:lang w:eastAsia="fr-FR"/>
        </w:rPr>
        <w:t xml:space="preserve">M.P. NOËL, J. DOCQUIER (UCL) </w:t>
      </w:r>
    </w:p>
    <w:p w:rsidR="005F3986" w:rsidRPr="005F3986" w:rsidRDefault="005F3986" w:rsidP="005F3986">
      <w:pPr>
        <w:shd w:val="clear" w:color="auto" w:fill="FFFFFF"/>
        <w:spacing w:after="0" w:line="240" w:lineRule="auto"/>
        <w:rPr>
          <w:rFonts w:ascii="Times New Roman" w:eastAsia="Times New Roman" w:hAnsi="Times New Roman" w:cs="Times New Roman"/>
          <w:bCs/>
          <w:sz w:val="24"/>
          <w:szCs w:val="24"/>
          <w:lang w:eastAsia="fr-FR"/>
        </w:rPr>
      </w:pPr>
      <w:r w:rsidRPr="005F3986">
        <w:rPr>
          <w:rFonts w:ascii="Times New Roman" w:eastAsia="Times New Roman" w:hAnsi="Times New Roman" w:cs="Times New Roman"/>
          <w:bCs/>
          <w:sz w:val="24"/>
          <w:szCs w:val="24"/>
          <w:lang w:eastAsia="fr-FR"/>
        </w:rPr>
        <w:t>L’intégration scolaire d’un enfant TDAH dans une classe de l’enseignement fondamental.</w:t>
      </w:r>
    </w:p>
    <w:p w:rsidR="005F3986" w:rsidRDefault="005F3986" w:rsidP="005F3986">
      <w:pPr>
        <w:shd w:val="clear" w:color="auto" w:fill="FFFFFF"/>
        <w:spacing w:after="0" w:line="240" w:lineRule="auto"/>
        <w:rPr>
          <w:rFonts w:ascii="Times New Roman" w:eastAsia="Times New Roman" w:hAnsi="Times New Roman" w:cs="Times New Roman"/>
          <w:bCs/>
          <w:i/>
          <w:sz w:val="20"/>
          <w:szCs w:val="24"/>
          <w:lang w:eastAsia="fr-FR"/>
        </w:rPr>
      </w:pPr>
      <w:r w:rsidRPr="00A878D6">
        <w:rPr>
          <w:rFonts w:ascii="Times New Roman" w:eastAsia="Times New Roman" w:hAnsi="Times New Roman" w:cs="Times New Roman"/>
          <w:bCs/>
          <w:i/>
          <w:sz w:val="20"/>
          <w:szCs w:val="24"/>
          <w:lang w:eastAsia="fr-FR"/>
        </w:rPr>
        <w:t xml:space="preserve">P. OP DE BEECK (Kain), V. MEURIS (Tournai) </w:t>
      </w:r>
    </w:p>
    <w:p w:rsidR="00A878D6" w:rsidRPr="00A878D6" w:rsidRDefault="00A878D6" w:rsidP="005F3986">
      <w:pPr>
        <w:shd w:val="clear" w:color="auto" w:fill="FFFFFF"/>
        <w:spacing w:after="0" w:line="240" w:lineRule="auto"/>
        <w:rPr>
          <w:rFonts w:ascii="Arial" w:eastAsia="Times New Roman" w:hAnsi="Arial" w:cs="Arial"/>
          <w:b/>
          <w:bCs/>
          <w:i/>
          <w:color w:val="993300"/>
          <w:sz w:val="20"/>
          <w:szCs w:val="24"/>
          <w:lang w:eastAsia="fr-FR"/>
        </w:rPr>
      </w:pPr>
    </w:p>
    <w:p w:rsidR="00111353" w:rsidRDefault="00111353" w:rsidP="00111353">
      <w:pPr>
        <w:shd w:val="clear" w:color="auto" w:fill="FFFFFF"/>
        <w:spacing w:after="0" w:line="240" w:lineRule="auto"/>
        <w:jc w:val="center"/>
        <w:rPr>
          <w:rFonts w:ascii="Arial" w:eastAsia="Times New Roman" w:hAnsi="Arial" w:cs="Arial"/>
          <w:b/>
          <w:bCs/>
          <w:color w:val="993300"/>
          <w:sz w:val="24"/>
          <w:szCs w:val="24"/>
          <w:lang w:eastAsia="fr-FR"/>
        </w:rPr>
      </w:pPr>
      <w:r w:rsidRPr="00111353">
        <w:rPr>
          <w:rFonts w:ascii="Arial" w:eastAsia="Times New Roman" w:hAnsi="Arial" w:cs="Arial"/>
          <w:b/>
          <w:bCs/>
          <w:color w:val="993300"/>
          <w:sz w:val="24"/>
          <w:szCs w:val="24"/>
          <w:lang w:eastAsia="fr-FR"/>
        </w:rPr>
        <w:t>Egalement dans ce N° 114</w:t>
      </w:r>
    </w:p>
    <w:p w:rsidR="00111353" w:rsidRPr="00111353" w:rsidRDefault="00111353" w:rsidP="00111353">
      <w:pPr>
        <w:shd w:val="clear" w:color="auto" w:fill="FFFFFF"/>
        <w:spacing w:after="0" w:line="240" w:lineRule="auto"/>
        <w:jc w:val="center"/>
        <w:rPr>
          <w:rFonts w:ascii="Arial" w:eastAsia="Times New Roman" w:hAnsi="Arial" w:cs="Arial"/>
          <w:color w:val="2E2627"/>
          <w:sz w:val="18"/>
          <w:szCs w:val="18"/>
          <w:lang w:eastAsia="fr-FR"/>
        </w:rPr>
      </w:pPr>
    </w:p>
    <w:p w:rsidR="00111353" w:rsidRDefault="00111353" w:rsidP="00111353">
      <w:pPr>
        <w:shd w:val="clear" w:color="auto" w:fill="FFFFFF"/>
        <w:adjustRightInd w:val="0"/>
        <w:spacing w:after="0" w:line="240" w:lineRule="auto"/>
        <w:jc w:val="center"/>
        <w:rPr>
          <w:rFonts w:ascii="Times-Roman" w:eastAsia="Times New Roman" w:hAnsi="Times-Roman" w:cs="Times-Roman"/>
          <w:b/>
          <w:color w:val="231F20"/>
          <w:sz w:val="24"/>
          <w:szCs w:val="24"/>
          <w:lang w:eastAsia="fr-FR"/>
        </w:rPr>
      </w:pPr>
      <w:r w:rsidRPr="00111353">
        <w:rPr>
          <w:rFonts w:ascii="Times-Roman" w:eastAsia="Times New Roman" w:hAnsi="Times-Roman" w:cs="Times-Roman"/>
          <w:b/>
          <w:color w:val="231F20"/>
          <w:sz w:val="24"/>
          <w:szCs w:val="24"/>
          <w:lang w:eastAsia="fr-FR"/>
        </w:rPr>
        <w:t>VARIA</w:t>
      </w:r>
    </w:p>
    <w:p w:rsidR="00111353" w:rsidRPr="00111353" w:rsidRDefault="00111353" w:rsidP="00111353">
      <w:pPr>
        <w:shd w:val="clear" w:color="auto" w:fill="FFFFFF"/>
        <w:adjustRightInd w:val="0"/>
        <w:spacing w:after="0" w:line="240" w:lineRule="auto"/>
        <w:jc w:val="center"/>
        <w:rPr>
          <w:rFonts w:ascii="Arial" w:eastAsia="Times New Roman" w:hAnsi="Arial" w:cs="Arial"/>
          <w:color w:val="2E2627"/>
          <w:sz w:val="18"/>
          <w:szCs w:val="18"/>
          <w:lang w:eastAsia="fr-FR"/>
        </w:rPr>
      </w:pPr>
    </w:p>
    <w:p w:rsidR="00111353" w:rsidRPr="00111353" w:rsidRDefault="00111353" w:rsidP="00111353">
      <w:pPr>
        <w:shd w:val="clear" w:color="auto" w:fill="FFFFFF"/>
        <w:adjustRightInd w:val="0"/>
        <w:spacing w:after="0" w:line="240" w:lineRule="auto"/>
        <w:rPr>
          <w:rFonts w:ascii="Arial" w:eastAsia="Times New Roman" w:hAnsi="Arial" w:cs="Arial"/>
          <w:color w:val="2E2627"/>
          <w:sz w:val="18"/>
          <w:szCs w:val="18"/>
          <w:lang w:eastAsia="fr-FR"/>
        </w:rPr>
      </w:pPr>
      <w:r w:rsidRPr="00111353">
        <w:rPr>
          <w:rFonts w:ascii="Times-Roman" w:eastAsia="Times New Roman" w:hAnsi="Times-Roman" w:cs="Times-Roman"/>
          <w:color w:val="231F20"/>
          <w:sz w:val="24"/>
          <w:szCs w:val="24"/>
          <w:lang w:eastAsia="fr-FR"/>
        </w:rPr>
        <w:t xml:space="preserve">Autisme et cécité: revue de la littérature </w:t>
      </w:r>
      <w:r w:rsidRPr="00111353">
        <w:rPr>
          <w:rFonts w:ascii="Times-Italic" w:eastAsia="Times New Roman" w:hAnsi="Times-Italic" w:cs="Times-Italic"/>
          <w:i/>
          <w:iCs/>
          <w:color w:val="231F20"/>
          <w:sz w:val="20"/>
          <w:szCs w:val="24"/>
          <w:lang w:eastAsia="fr-FR"/>
        </w:rPr>
        <w:t>R. COUTELLE, D. SIBERTIN-BLANC</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Roman" w:eastAsia="Times New Roman" w:hAnsi="Times-Roman" w:cs="Times-Roman"/>
          <w:color w:val="231F20"/>
          <w:sz w:val="24"/>
          <w:szCs w:val="24"/>
          <w:lang w:eastAsia="fr-FR"/>
        </w:rPr>
        <w:t xml:space="preserve">Approches d’intervention </w:t>
      </w:r>
      <w:proofErr w:type="spellStart"/>
      <w:r w:rsidRPr="00111353">
        <w:rPr>
          <w:rFonts w:ascii="Times-Roman" w:eastAsia="Times New Roman" w:hAnsi="Times-Roman" w:cs="Times-Roman"/>
          <w:color w:val="231F20"/>
          <w:sz w:val="24"/>
          <w:szCs w:val="24"/>
          <w:lang w:eastAsia="fr-FR"/>
        </w:rPr>
        <w:t>neuromaturationnelles</w:t>
      </w:r>
      <w:proofErr w:type="spellEnd"/>
      <w:r w:rsidRPr="00111353">
        <w:rPr>
          <w:rFonts w:ascii="Times-Roman" w:eastAsia="Times New Roman" w:hAnsi="Times-Roman" w:cs="Times-Roman"/>
          <w:color w:val="231F20"/>
          <w:sz w:val="24"/>
          <w:szCs w:val="24"/>
          <w:lang w:eastAsia="fr-FR"/>
        </w:rPr>
        <w:t xml:space="preserve"> : Analyse des fondements théoriques et scientifiques </w:t>
      </w:r>
      <w:r w:rsidRPr="00111353">
        <w:rPr>
          <w:rFonts w:ascii="Times-Italic" w:eastAsia="Times New Roman" w:hAnsi="Times-Italic" w:cs="Times-Italic"/>
          <w:i/>
          <w:iCs/>
          <w:color w:val="231F20"/>
          <w:sz w:val="20"/>
          <w:szCs w:val="24"/>
          <w:lang w:eastAsia="fr-FR"/>
        </w:rPr>
        <w:t>E. JASMIN, F. BEAUREGARD ET S. TÉTREAULT</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Roman" w:eastAsia="Times New Roman" w:hAnsi="Times-Roman" w:cs="Times-Roman"/>
          <w:color w:val="231F20"/>
          <w:sz w:val="24"/>
          <w:szCs w:val="24"/>
          <w:lang w:eastAsia="fr-FR"/>
        </w:rPr>
        <w:t>Dépistage et remédiation scolaire des troubles spécifiques d’apprentissage :</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proofErr w:type="gramStart"/>
      <w:r w:rsidRPr="00111353">
        <w:rPr>
          <w:rFonts w:ascii="Times-Roman" w:eastAsia="Times New Roman" w:hAnsi="Times-Roman" w:cs="Times-Roman"/>
          <w:color w:val="231F20"/>
          <w:sz w:val="24"/>
          <w:szCs w:val="24"/>
          <w:lang w:eastAsia="fr-FR"/>
        </w:rPr>
        <w:t>l’expérience</w:t>
      </w:r>
      <w:proofErr w:type="gramEnd"/>
      <w:r w:rsidRPr="00111353">
        <w:rPr>
          <w:rFonts w:ascii="Times-Roman" w:eastAsia="Times New Roman" w:hAnsi="Times-Roman" w:cs="Times-Roman"/>
          <w:color w:val="231F20"/>
          <w:sz w:val="24"/>
          <w:szCs w:val="24"/>
          <w:lang w:eastAsia="fr-FR"/>
        </w:rPr>
        <w:t xml:space="preserve"> de l’Italie </w:t>
      </w:r>
      <w:r w:rsidRPr="00111353">
        <w:rPr>
          <w:rFonts w:ascii="Times-Italic" w:eastAsia="Times New Roman" w:hAnsi="Times-Italic" w:cs="Times-Italic"/>
          <w:i/>
          <w:iCs/>
          <w:color w:val="231F20"/>
          <w:sz w:val="20"/>
          <w:szCs w:val="24"/>
          <w:lang w:eastAsia="fr-FR"/>
        </w:rPr>
        <w:t>G. STELLA, G. ZANZURINO</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Roman" w:eastAsia="Times New Roman" w:hAnsi="Times-Roman" w:cs="Times-Roman"/>
          <w:color w:val="231F20"/>
          <w:sz w:val="24"/>
          <w:szCs w:val="24"/>
          <w:lang w:eastAsia="fr-FR"/>
        </w:rPr>
        <w:t>Nouvelles perspectives offertes par la Batterie d’évaluation diagnostique</w:t>
      </w:r>
      <w:r w:rsidRPr="00111353">
        <w:rPr>
          <w:rFonts w:ascii="Arial" w:eastAsia="Times New Roman" w:hAnsi="Arial" w:cs="Arial"/>
          <w:color w:val="2E2627"/>
          <w:sz w:val="18"/>
          <w:szCs w:val="18"/>
          <w:lang w:eastAsia="fr-FR"/>
        </w:rPr>
        <w:t xml:space="preserve"> </w:t>
      </w:r>
      <w:r w:rsidRPr="00111353">
        <w:rPr>
          <w:rFonts w:ascii="Times-Roman" w:eastAsia="Times New Roman" w:hAnsi="Times-Roman" w:cs="Times-Roman"/>
          <w:color w:val="231F20"/>
          <w:sz w:val="24"/>
          <w:szCs w:val="24"/>
          <w:lang w:eastAsia="fr-FR"/>
        </w:rPr>
        <w:t>orthophonique</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Roman" w:eastAsia="Times New Roman" w:hAnsi="Times-Roman" w:cs="Times-Roman"/>
          <w:color w:val="231F20"/>
          <w:sz w:val="24"/>
          <w:szCs w:val="24"/>
          <w:lang w:eastAsia="fr-FR"/>
        </w:rPr>
        <w:t xml:space="preserve">EVALO 2-6 </w:t>
      </w:r>
      <w:r w:rsidRPr="00111353">
        <w:rPr>
          <w:rFonts w:ascii="Times-Italic" w:eastAsia="Times New Roman" w:hAnsi="Times-Italic" w:cs="Times-Italic"/>
          <w:i/>
          <w:iCs/>
          <w:color w:val="231F20"/>
          <w:sz w:val="20"/>
          <w:szCs w:val="24"/>
          <w:lang w:eastAsia="fr-FR"/>
        </w:rPr>
        <w:t>F. COQUET</w:t>
      </w:r>
    </w:p>
    <w:p w:rsidR="00111353" w:rsidRDefault="00111353" w:rsidP="00111353">
      <w:pPr>
        <w:shd w:val="clear" w:color="auto" w:fill="FFFFFF"/>
        <w:adjustRightInd w:val="0"/>
        <w:spacing w:after="0" w:line="240" w:lineRule="auto"/>
        <w:jc w:val="center"/>
        <w:rPr>
          <w:rFonts w:ascii="Times-Roman" w:eastAsia="Times New Roman" w:hAnsi="Times-Roman" w:cs="Times-Roman"/>
          <w:b/>
          <w:color w:val="231F20"/>
          <w:sz w:val="24"/>
          <w:szCs w:val="24"/>
          <w:lang w:eastAsia="fr-FR"/>
        </w:rPr>
      </w:pPr>
      <w:r w:rsidRPr="00111353">
        <w:rPr>
          <w:rFonts w:ascii="Times-Roman" w:eastAsia="Times New Roman" w:hAnsi="Times-Roman" w:cs="Times-Roman"/>
          <w:b/>
          <w:color w:val="231F20"/>
          <w:sz w:val="24"/>
          <w:szCs w:val="24"/>
          <w:lang w:eastAsia="fr-FR"/>
        </w:rPr>
        <w:t>LE CAHIER PRATIQUE</w:t>
      </w:r>
    </w:p>
    <w:p w:rsidR="00111353" w:rsidRPr="00111353" w:rsidRDefault="00111353" w:rsidP="00111353">
      <w:pPr>
        <w:shd w:val="clear" w:color="auto" w:fill="FFFFFF"/>
        <w:adjustRightInd w:val="0"/>
        <w:spacing w:after="0" w:line="240" w:lineRule="auto"/>
        <w:jc w:val="center"/>
        <w:rPr>
          <w:rFonts w:ascii="Arial" w:eastAsia="Times New Roman" w:hAnsi="Arial" w:cs="Arial"/>
          <w:color w:val="2E2627"/>
          <w:sz w:val="18"/>
          <w:szCs w:val="18"/>
          <w:lang w:eastAsia="fr-FR"/>
        </w:rPr>
      </w:pPr>
    </w:p>
    <w:p w:rsidR="00111353" w:rsidRPr="00111353" w:rsidRDefault="00111353" w:rsidP="00111353">
      <w:pPr>
        <w:shd w:val="clear" w:color="auto" w:fill="FFFFFF"/>
        <w:adjustRightInd w:val="0"/>
        <w:spacing w:after="0" w:line="240" w:lineRule="auto"/>
        <w:rPr>
          <w:rFonts w:ascii="Arial" w:eastAsia="Times New Roman" w:hAnsi="Arial" w:cs="Arial"/>
          <w:color w:val="2E2627"/>
          <w:sz w:val="18"/>
          <w:szCs w:val="18"/>
          <w:lang w:eastAsia="fr-FR"/>
        </w:rPr>
      </w:pPr>
      <w:r w:rsidRPr="00111353">
        <w:rPr>
          <w:rFonts w:ascii="Times-Roman" w:eastAsia="Times New Roman" w:hAnsi="Times-Roman" w:cs="Times-Roman"/>
          <w:color w:val="231F20"/>
          <w:sz w:val="24"/>
          <w:szCs w:val="24"/>
          <w:lang w:eastAsia="fr-FR"/>
        </w:rPr>
        <w:t xml:space="preserve">Testons les tests - l'EVALO 2-6 </w:t>
      </w:r>
      <w:r w:rsidRPr="00111353">
        <w:rPr>
          <w:rFonts w:ascii="Times-Italic" w:eastAsia="Times New Roman" w:hAnsi="Times-Italic" w:cs="Times-Italic"/>
          <w:i/>
          <w:iCs/>
          <w:color w:val="231F20"/>
          <w:sz w:val="20"/>
          <w:szCs w:val="24"/>
          <w:lang w:eastAsia="fr-FR"/>
        </w:rPr>
        <w:t>L. VANNETZEL &amp; E. COUDOUGNAN</w:t>
      </w:r>
    </w:p>
    <w:p w:rsidR="00111353" w:rsidRPr="00111353" w:rsidRDefault="00111353" w:rsidP="00111353">
      <w:pPr>
        <w:shd w:val="clear" w:color="auto" w:fill="FFFFFF"/>
        <w:spacing w:after="0" w:line="240" w:lineRule="auto"/>
        <w:rPr>
          <w:rFonts w:ascii="Arial" w:eastAsia="Times New Roman" w:hAnsi="Arial" w:cs="Arial"/>
          <w:color w:val="2E2627"/>
          <w:sz w:val="18"/>
          <w:szCs w:val="18"/>
          <w:lang w:eastAsia="fr-FR"/>
        </w:rPr>
      </w:pPr>
      <w:r w:rsidRPr="00111353">
        <w:rPr>
          <w:rFonts w:ascii="Times-Roman" w:eastAsia="Times New Roman" w:hAnsi="Times-Roman" w:cs="Times-Roman"/>
          <w:color w:val="231F20"/>
          <w:sz w:val="24"/>
          <w:szCs w:val="24"/>
          <w:lang w:eastAsia="fr-FR"/>
        </w:rPr>
        <w:t>L’AQETA 2011 : Congrès des troubles des apprentissages au Québec,</w:t>
      </w:r>
    </w:p>
    <w:p w:rsidR="00111353" w:rsidRDefault="00111353" w:rsidP="00111353">
      <w:pPr>
        <w:shd w:val="clear" w:color="auto" w:fill="FFFFFF"/>
        <w:spacing w:after="0" w:line="240" w:lineRule="auto"/>
        <w:rPr>
          <w:rFonts w:ascii="Times-Italic" w:eastAsia="Calibri" w:hAnsi="Times-Italic" w:cs="Times-Italic"/>
          <w:i/>
          <w:iCs/>
          <w:color w:val="231F20"/>
          <w:sz w:val="20"/>
          <w:szCs w:val="24"/>
        </w:rPr>
      </w:pPr>
      <w:proofErr w:type="gramStart"/>
      <w:r w:rsidRPr="00111353">
        <w:rPr>
          <w:rFonts w:ascii="Times-Roman" w:eastAsia="Calibri" w:hAnsi="Times-Roman" w:cs="Times-Roman"/>
          <w:color w:val="231F20"/>
          <w:sz w:val="24"/>
          <w:szCs w:val="24"/>
        </w:rPr>
        <w:t>ce</w:t>
      </w:r>
      <w:proofErr w:type="gramEnd"/>
      <w:r w:rsidRPr="00111353">
        <w:rPr>
          <w:rFonts w:ascii="Times-Roman" w:eastAsia="Calibri" w:hAnsi="Times-Roman" w:cs="Times-Roman"/>
          <w:color w:val="231F20"/>
          <w:sz w:val="24"/>
          <w:szCs w:val="24"/>
        </w:rPr>
        <w:t xml:space="preserve"> que nous avons vu et retenu pour vous </w:t>
      </w:r>
      <w:r w:rsidRPr="00111353">
        <w:rPr>
          <w:rFonts w:ascii="Times-Italic" w:eastAsia="Calibri" w:hAnsi="Times-Italic" w:cs="Times-Italic"/>
          <w:i/>
          <w:iCs/>
          <w:color w:val="231F20"/>
          <w:sz w:val="20"/>
          <w:szCs w:val="24"/>
        </w:rPr>
        <w:t>L. VANNETZEL</w:t>
      </w:r>
    </w:p>
    <w:p w:rsidR="00594876" w:rsidRPr="00111353" w:rsidRDefault="00594876" w:rsidP="00111353">
      <w:pPr>
        <w:shd w:val="clear" w:color="auto" w:fill="FFFFFF"/>
        <w:spacing w:after="0" w:line="240" w:lineRule="auto"/>
        <w:rPr>
          <w:rFonts w:ascii="Arial" w:eastAsia="Times New Roman" w:hAnsi="Arial" w:cs="Arial"/>
          <w:color w:val="2E2627"/>
          <w:sz w:val="18"/>
          <w:szCs w:val="18"/>
          <w:lang w:eastAsia="fr-FR"/>
        </w:rPr>
      </w:pPr>
    </w:p>
    <w:p w:rsidR="00111353" w:rsidRPr="00594876" w:rsidRDefault="00111353" w:rsidP="00111353">
      <w:pPr>
        <w:shd w:val="clear" w:color="auto" w:fill="FFFFFF"/>
        <w:spacing w:line="240" w:lineRule="auto"/>
        <w:rPr>
          <w:rFonts w:ascii="Arial" w:eastAsia="Times New Roman" w:hAnsi="Arial" w:cs="Arial"/>
          <w:color w:val="0070C0"/>
          <w:sz w:val="18"/>
          <w:szCs w:val="18"/>
          <w:lang w:eastAsia="fr-FR"/>
        </w:rPr>
      </w:pPr>
      <w:r w:rsidRPr="00594876">
        <w:rPr>
          <w:rFonts w:ascii="Times New Roman" w:eastAsia="Times New Roman" w:hAnsi="Times New Roman" w:cs="Times New Roman"/>
          <w:color w:val="0070C0"/>
          <w:sz w:val="24"/>
          <w:szCs w:val="24"/>
          <w:lang w:eastAsia="fr-FR"/>
        </w:rPr>
        <w:t xml:space="preserve">ANAE - </w:t>
      </w:r>
      <w:hyperlink r:id="rId6" w:history="1">
        <w:r w:rsidRPr="00594876">
          <w:rPr>
            <w:rFonts w:ascii="Times New Roman" w:eastAsia="Times New Roman" w:hAnsi="Times New Roman" w:cs="Times New Roman"/>
            <w:color w:val="0070C0"/>
            <w:sz w:val="24"/>
            <w:szCs w:val="24"/>
            <w:lang w:eastAsia="fr-FR"/>
          </w:rPr>
          <w:t>anae@wanadoo.fr</w:t>
        </w:r>
      </w:hyperlink>
      <w:r w:rsidRPr="00594876">
        <w:rPr>
          <w:rFonts w:ascii="Times New Roman" w:eastAsia="Times New Roman" w:hAnsi="Times New Roman" w:cs="Times New Roman"/>
          <w:color w:val="0070C0"/>
          <w:sz w:val="24"/>
          <w:szCs w:val="24"/>
          <w:lang w:eastAsia="fr-FR"/>
        </w:rPr>
        <w:t xml:space="preserve"> - </w:t>
      </w:r>
      <w:hyperlink r:id="rId7" w:history="1">
        <w:r w:rsidRPr="00594876">
          <w:rPr>
            <w:rFonts w:ascii="Times New Roman" w:eastAsia="Times New Roman" w:hAnsi="Times New Roman" w:cs="Times New Roman"/>
            <w:color w:val="0070C0"/>
            <w:sz w:val="24"/>
            <w:szCs w:val="24"/>
            <w:lang w:eastAsia="fr-FR"/>
          </w:rPr>
          <w:t>www.anae-revue.com</w:t>
        </w:r>
      </w:hyperlink>
      <w:r w:rsidRPr="00594876">
        <w:rPr>
          <w:rFonts w:ascii="Times New Roman" w:eastAsia="Times New Roman" w:hAnsi="Times New Roman" w:cs="Times New Roman"/>
          <w:color w:val="0070C0"/>
          <w:sz w:val="24"/>
          <w:szCs w:val="24"/>
          <w:lang w:eastAsia="fr-FR"/>
        </w:rPr>
        <w:t xml:space="preserve"> - </w:t>
      </w:r>
      <w:hyperlink r:id="rId8" w:history="1">
        <w:r w:rsidRPr="00594876">
          <w:rPr>
            <w:rFonts w:ascii="Times New Roman" w:eastAsia="Times New Roman" w:hAnsi="Times New Roman" w:cs="Times New Roman"/>
            <w:color w:val="0070C0"/>
            <w:sz w:val="24"/>
            <w:szCs w:val="24"/>
            <w:lang w:eastAsia="fr-FR"/>
          </w:rPr>
          <w:t>www.anae-revue.org</w:t>
        </w:r>
      </w:hyperlink>
      <w:r w:rsidRPr="00594876">
        <w:rPr>
          <w:rFonts w:ascii="Times New Roman" w:eastAsia="Times New Roman" w:hAnsi="Times New Roman" w:cs="Times New Roman"/>
          <w:color w:val="0070C0"/>
          <w:sz w:val="24"/>
          <w:szCs w:val="24"/>
          <w:lang w:eastAsia="fr-FR"/>
        </w:rPr>
        <w:t xml:space="preserve"> - </w:t>
      </w:r>
      <w:hyperlink r:id="rId9" w:history="1">
        <w:r w:rsidRPr="00594876">
          <w:rPr>
            <w:rFonts w:ascii="Times New Roman" w:eastAsia="Times New Roman" w:hAnsi="Times New Roman" w:cs="Times New Roman"/>
            <w:color w:val="0070C0"/>
            <w:sz w:val="24"/>
            <w:szCs w:val="24"/>
            <w:lang w:eastAsia="fr-FR"/>
          </w:rPr>
          <w:t xml:space="preserve">ANAE formations </w:t>
        </w:r>
      </w:hyperlink>
      <w:r w:rsidRPr="00594876">
        <w:rPr>
          <w:rFonts w:ascii="Times New Roman" w:eastAsia="Times New Roman" w:hAnsi="Times New Roman" w:cs="Times New Roman"/>
          <w:color w:val="0070C0"/>
          <w:sz w:val="24"/>
          <w:szCs w:val="24"/>
          <w:lang w:eastAsia="fr-FR"/>
        </w:rPr>
        <w:t xml:space="preserve">- </w:t>
      </w:r>
      <w:hyperlink r:id="rId10" w:history="1">
        <w:r w:rsidRPr="00594876">
          <w:rPr>
            <w:rFonts w:ascii="Times New Roman" w:eastAsia="Times New Roman" w:hAnsi="Times New Roman" w:cs="Times New Roman"/>
            <w:color w:val="0070C0"/>
            <w:sz w:val="24"/>
            <w:szCs w:val="24"/>
            <w:lang w:eastAsia="fr-FR"/>
          </w:rPr>
          <w:t>Les Editions du Petit ANAE</w:t>
        </w:r>
      </w:hyperlink>
    </w:p>
    <w:p w:rsidR="00A351B5" w:rsidRDefault="00A351B5"/>
    <w:sectPr w:rsidR="00A35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353"/>
    <w:rsid w:val="00111353"/>
    <w:rsid w:val="002670D8"/>
    <w:rsid w:val="00314B3A"/>
    <w:rsid w:val="00594876"/>
    <w:rsid w:val="005F3986"/>
    <w:rsid w:val="008D3DB1"/>
    <w:rsid w:val="00A351B5"/>
    <w:rsid w:val="00A878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F1C2"/>
  <w15:docId w15:val="{5579AF78-2DCA-4E63-9326-A575BE35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13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774504">
      <w:bodyDiv w:val="1"/>
      <w:marLeft w:val="0"/>
      <w:marRight w:val="0"/>
      <w:marTop w:val="0"/>
      <w:marBottom w:val="0"/>
      <w:divBdr>
        <w:top w:val="none" w:sz="0" w:space="0" w:color="auto"/>
        <w:left w:val="none" w:sz="0" w:space="0" w:color="auto"/>
        <w:bottom w:val="none" w:sz="0" w:space="0" w:color="auto"/>
        <w:right w:val="none" w:sz="0" w:space="0" w:color="auto"/>
      </w:divBdr>
      <w:divsChild>
        <w:div w:id="778839552">
          <w:marLeft w:val="0"/>
          <w:marRight w:val="0"/>
          <w:marTop w:val="0"/>
          <w:marBottom w:val="0"/>
          <w:divBdr>
            <w:top w:val="none" w:sz="0" w:space="0" w:color="auto"/>
            <w:left w:val="none" w:sz="0" w:space="0" w:color="auto"/>
            <w:bottom w:val="none" w:sz="0" w:space="0" w:color="auto"/>
            <w:right w:val="none" w:sz="0" w:space="0" w:color="auto"/>
          </w:divBdr>
          <w:divsChild>
            <w:div w:id="1956792883">
              <w:marLeft w:val="0"/>
              <w:marRight w:val="0"/>
              <w:marTop w:val="0"/>
              <w:marBottom w:val="0"/>
              <w:divBdr>
                <w:top w:val="single" w:sz="6" w:space="0" w:color="FFFFFF"/>
                <w:left w:val="single" w:sz="6" w:space="0" w:color="C7AE93"/>
                <w:bottom w:val="none" w:sz="0" w:space="0" w:color="auto"/>
                <w:right w:val="single" w:sz="6" w:space="0" w:color="C7AE93"/>
              </w:divBdr>
              <w:divsChild>
                <w:div w:id="485781398">
                  <w:marLeft w:val="0"/>
                  <w:marRight w:val="0"/>
                  <w:marTop w:val="0"/>
                  <w:marBottom w:val="0"/>
                  <w:divBdr>
                    <w:top w:val="none" w:sz="0" w:space="0" w:color="auto"/>
                    <w:left w:val="none" w:sz="0" w:space="0" w:color="auto"/>
                    <w:bottom w:val="none" w:sz="0" w:space="0" w:color="auto"/>
                    <w:right w:val="none" w:sz="0" w:space="0" w:color="auto"/>
                  </w:divBdr>
                  <w:divsChild>
                    <w:div w:id="1390105343">
                      <w:marLeft w:val="0"/>
                      <w:marRight w:val="0"/>
                      <w:marTop w:val="0"/>
                      <w:marBottom w:val="0"/>
                      <w:divBdr>
                        <w:top w:val="none" w:sz="0" w:space="0" w:color="auto"/>
                        <w:left w:val="none" w:sz="0" w:space="0" w:color="auto"/>
                        <w:bottom w:val="none" w:sz="0" w:space="0" w:color="auto"/>
                        <w:right w:val="none" w:sz="0" w:space="0" w:color="auto"/>
                      </w:divBdr>
                      <w:divsChild>
                        <w:div w:id="402993454">
                          <w:marLeft w:val="0"/>
                          <w:marRight w:val="0"/>
                          <w:marTop w:val="0"/>
                          <w:marBottom w:val="0"/>
                          <w:divBdr>
                            <w:top w:val="none" w:sz="0" w:space="0" w:color="auto"/>
                            <w:left w:val="none" w:sz="0" w:space="0" w:color="auto"/>
                            <w:bottom w:val="none" w:sz="0" w:space="0" w:color="auto"/>
                            <w:right w:val="none" w:sz="0" w:space="0" w:color="auto"/>
                          </w:divBdr>
                          <w:divsChild>
                            <w:div w:id="2140801495">
                              <w:marLeft w:val="0"/>
                              <w:marRight w:val="0"/>
                              <w:marTop w:val="75"/>
                              <w:marBottom w:val="2400"/>
                              <w:divBdr>
                                <w:top w:val="none" w:sz="0" w:space="0" w:color="auto"/>
                                <w:left w:val="none" w:sz="0" w:space="0" w:color="auto"/>
                                <w:bottom w:val="none" w:sz="0" w:space="0" w:color="auto"/>
                                <w:right w:val="none" w:sz="0" w:space="0" w:color="auto"/>
                              </w:divBdr>
                              <w:divsChild>
                                <w:div w:id="1076588031">
                                  <w:marLeft w:val="0"/>
                                  <w:marRight w:val="0"/>
                                  <w:marTop w:val="0"/>
                                  <w:marBottom w:val="0"/>
                                  <w:divBdr>
                                    <w:top w:val="single" w:sz="6" w:space="0" w:color="653A33"/>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e-revue.org" TargetMode="External"/><Relationship Id="rId3" Type="http://schemas.openxmlformats.org/officeDocument/2006/relationships/webSettings" Target="webSettings.xml"/><Relationship Id="rId7" Type="http://schemas.openxmlformats.org/officeDocument/2006/relationships/hyperlink" Target="http://www.anae-revu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e@wanadoo.fr" TargetMode="External"/><Relationship Id="rId11" Type="http://schemas.openxmlformats.org/officeDocument/2006/relationships/fontTable" Target="fontTable.xml"/><Relationship Id="rId5" Type="http://schemas.openxmlformats.org/officeDocument/2006/relationships/hyperlink" Target="http://www.anae-revue.com/la-documentation-scientifique-tous-les-n-disponibles/" TargetMode="External"/><Relationship Id="rId10" Type="http://schemas.openxmlformats.org/officeDocument/2006/relationships/hyperlink" Target="http://www.anae-revue.com/les-editions-du-petit-anae/" TargetMode="External"/><Relationship Id="rId4" Type="http://schemas.openxmlformats.org/officeDocument/2006/relationships/image" Target="media/image1.jpeg"/><Relationship Id="rId9" Type="http://schemas.openxmlformats.org/officeDocument/2006/relationships/hyperlink" Target="http://www.anae-revue.com/anae-formations/formations-individu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885</Words>
  <Characters>4873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6</cp:revision>
  <dcterms:created xsi:type="dcterms:W3CDTF">2011-10-28T08:00:00Z</dcterms:created>
  <dcterms:modified xsi:type="dcterms:W3CDTF">2018-12-15T19:36:00Z</dcterms:modified>
</cp:coreProperties>
</file>